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6C79" w14:textId="49119189" w:rsidR="00903709" w:rsidRDefault="00903709"/>
    <w:p w14:paraId="587DA90B" w14:textId="70938BC7" w:rsidR="002A54F2" w:rsidRPr="002B7BEB" w:rsidRDefault="002A54F2" w:rsidP="002A54F2">
      <w:pPr>
        <w:pStyle w:val="WitregelW1bodytekst"/>
      </w:pPr>
      <w:r w:rsidRPr="002B7BEB">
        <w:t>De kinderopvang heeft te maken met kostenstijgingen en druk op de lonen in verband met de arbeidsmarkttekorten. De zorgen over de betaalbaarheid en toegankelijkheid van kinderopvang zie en snap ik. De ontwikkeling van de tarieven is voor mij een belangrijk aandachtspunt, omdat het van invloed kan zijn op de toegankelijkheid</w:t>
      </w:r>
      <w:r w:rsidR="009A03AB">
        <w:t>,</w:t>
      </w:r>
      <w:r w:rsidRPr="002B7BEB">
        <w:t xml:space="preserve"> als tarieven steeds vaker boven de maximum </w:t>
      </w:r>
      <w:proofErr w:type="spellStart"/>
      <w:r w:rsidRPr="002B7BEB">
        <w:t>uurprijzen</w:t>
      </w:r>
      <w:proofErr w:type="spellEnd"/>
      <w:r w:rsidRPr="002B7BEB">
        <w:t xml:space="preserve"> komen te liggen. </w:t>
      </w:r>
    </w:p>
    <w:p w14:paraId="5D6A85F4" w14:textId="77777777" w:rsidR="002A54F2" w:rsidRPr="002B7BEB" w:rsidRDefault="002A54F2" w:rsidP="002A54F2"/>
    <w:p w14:paraId="646A0717" w14:textId="6CBF030C" w:rsidR="00BD2239" w:rsidRPr="002B7BEB" w:rsidRDefault="002A54F2" w:rsidP="002A54F2">
      <w:pPr>
        <w:pStyle w:val="WitregelW1bodytekst"/>
      </w:pPr>
      <w:r w:rsidRPr="002B7BEB">
        <w:t xml:space="preserve">In het commissiedebat kinderopvang van 16 november jl. heb ik toegezegd in te gaan op de vraag wanneer sinds 2006 is afgeweken van de indexatie zoals </w:t>
      </w:r>
      <w:r w:rsidR="0079162A">
        <w:t>die uit de wet volgt</w:t>
      </w:r>
      <w:r w:rsidRPr="002B7BEB">
        <w:t xml:space="preserve"> en wat het verschil was geweest tussen de gemiddelde uurtarieven en de maximum </w:t>
      </w:r>
      <w:proofErr w:type="spellStart"/>
      <w:r w:rsidRPr="002B7BEB">
        <w:t>uurprijzen</w:t>
      </w:r>
      <w:proofErr w:type="spellEnd"/>
      <w:r w:rsidRPr="002B7BEB">
        <w:t xml:space="preserve"> als de wetgever dat niet gedaan had. Deze vraag is gesteld </w:t>
      </w:r>
      <w:r w:rsidR="006300C0">
        <w:t xml:space="preserve">door het Kamerlid </w:t>
      </w:r>
      <w:r w:rsidR="006300C0" w:rsidRPr="006300C0">
        <w:t>Maatoug</w:t>
      </w:r>
      <w:r w:rsidR="006300C0">
        <w:t xml:space="preserve"> (GL) </w:t>
      </w:r>
      <w:r w:rsidRPr="002B7BEB">
        <w:t>naar aanleiding van een analyse van Buitenhek.</w:t>
      </w:r>
      <w:r w:rsidR="004D2C20">
        <w:rPr>
          <w:rStyle w:val="Voetnootmarkering"/>
        </w:rPr>
        <w:footnoteReference w:id="1"/>
      </w:r>
      <w:r w:rsidRPr="002B7BEB">
        <w:t xml:space="preserve"> </w:t>
      </w:r>
      <w:r w:rsidR="004555AD" w:rsidRPr="002B7BEB">
        <w:t>Ook heb ik toegezegd om in te gaan op de eigen bijdrage</w:t>
      </w:r>
      <w:r w:rsidR="009A03AB">
        <w:t>,</w:t>
      </w:r>
      <w:r w:rsidR="004555AD" w:rsidRPr="002B7BEB">
        <w:t xml:space="preserve"> </w:t>
      </w:r>
      <w:r w:rsidR="00F3632A" w:rsidRPr="002B7BEB">
        <w:t xml:space="preserve">die ouders betalen voor </w:t>
      </w:r>
      <w:r w:rsidR="004555AD" w:rsidRPr="002B7BEB">
        <w:t>voorschoolse voorzieningen</w:t>
      </w:r>
      <w:r w:rsidR="00F3632A" w:rsidRPr="002B7BEB">
        <w:t xml:space="preserve"> en de ruimte die gemeenten hebben</w:t>
      </w:r>
      <w:r w:rsidR="004555AD" w:rsidRPr="002B7BEB">
        <w:t xml:space="preserve">. Omdat dit ook het dossier voorschoolse educatie betreft, doe ik </w:t>
      </w:r>
      <w:r w:rsidR="00203361">
        <w:t xml:space="preserve">u </w:t>
      </w:r>
      <w:r w:rsidR="004555AD" w:rsidRPr="002B7BEB">
        <w:t xml:space="preserve">deze brief </w:t>
      </w:r>
      <w:r w:rsidR="005D6154">
        <w:t xml:space="preserve">mede </w:t>
      </w:r>
      <w:r w:rsidR="004555AD" w:rsidRPr="002B7BEB">
        <w:t xml:space="preserve">namens de Minister </w:t>
      </w:r>
      <w:r w:rsidR="002F0F56">
        <w:t>voor</w:t>
      </w:r>
      <w:r w:rsidR="004555AD" w:rsidRPr="002B7BEB">
        <w:t xml:space="preserve"> Primair en Voortgezet Onderwijs </w:t>
      </w:r>
      <w:r w:rsidR="00203361">
        <w:t>toekomen</w:t>
      </w:r>
      <w:r w:rsidR="004555AD" w:rsidRPr="002B7BEB">
        <w:t>.</w:t>
      </w:r>
    </w:p>
    <w:p w14:paraId="4DD38AB8" w14:textId="77777777" w:rsidR="00BD2239" w:rsidRPr="002B7BEB" w:rsidRDefault="00BD2239" w:rsidP="00BD2239">
      <w:pPr>
        <w:pStyle w:val="WitregelW1bodytekst"/>
      </w:pPr>
    </w:p>
    <w:p w14:paraId="529EE32F" w14:textId="1289DC42" w:rsidR="00BD2239" w:rsidRPr="002B7BEB" w:rsidRDefault="00BD2239" w:rsidP="00BD2239">
      <w:pPr>
        <w:pStyle w:val="WitregelW1bodytekst"/>
        <w:rPr>
          <w:b/>
          <w:bCs/>
        </w:rPr>
      </w:pPr>
      <w:r w:rsidRPr="002B7BEB">
        <w:rPr>
          <w:b/>
          <w:bCs/>
        </w:rPr>
        <w:t xml:space="preserve">Maximum </w:t>
      </w:r>
      <w:proofErr w:type="spellStart"/>
      <w:r w:rsidRPr="002B7BEB">
        <w:rPr>
          <w:b/>
          <w:bCs/>
        </w:rPr>
        <w:t>uurprijzen</w:t>
      </w:r>
      <w:proofErr w:type="spellEnd"/>
      <w:r w:rsidRPr="002B7BEB">
        <w:rPr>
          <w:b/>
          <w:bCs/>
        </w:rPr>
        <w:t xml:space="preserve"> en gemiddelde tarieven kinderopvang</w:t>
      </w:r>
    </w:p>
    <w:p w14:paraId="44C4B616" w14:textId="0743A38D" w:rsidR="00C757C4" w:rsidRDefault="002A54F2" w:rsidP="002A54F2">
      <w:r w:rsidRPr="002B7BEB">
        <w:t xml:space="preserve">Toegankelijke kinderopvang voor alle inkomensgroepen vind ik </w:t>
      </w:r>
      <w:r w:rsidR="009A03AB">
        <w:t xml:space="preserve">zeer </w:t>
      </w:r>
      <w:r w:rsidRPr="002B7BEB">
        <w:t xml:space="preserve">belangrijk, </w:t>
      </w:r>
      <w:r w:rsidR="009A03AB" w:rsidRPr="002B7BEB">
        <w:t xml:space="preserve">omdat het belangrijk is voor de ontwikkeling van kinderen </w:t>
      </w:r>
      <w:r w:rsidR="009A03AB">
        <w:t xml:space="preserve">én </w:t>
      </w:r>
      <w:r w:rsidRPr="002B7BEB">
        <w:t xml:space="preserve">omdat kinderopvang een onmisbare schakel is voor werkend Nederland. Daarom hanteer ik een maximum uurprijs in de kinderopvang, waarmee ik een norm stel voor de tarieven in de kinderopvang. Tot aan deze maximum uurprijs kunnen ouders kinderopvangtoeslag ontvangen. Op dit moment bedraagt de kinderopvangtoeslag 96% tot aan de maximum uurprijs voor huishoudens met een toetsingsinkomen tot ongeveer </w:t>
      </w:r>
      <w:r w:rsidR="00C757C4">
        <w:t xml:space="preserve">€ </w:t>
      </w:r>
      <w:r w:rsidRPr="002B7BEB">
        <w:t xml:space="preserve">26.000. Dit loopt bij 1 kind op de opvang af naar 33% kinderopvangtoeslag tot aan de maximum uurprijs voor huishoudens met een toetsingsinkomen vanaf ongeveer </w:t>
      </w:r>
      <w:r w:rsidR="00C757C4">
        <w:t xml:space="preserve">€ </w:t>
      </w:r>
      <w:r w:rsidRPr="002B7BEB">
        <w:t xml:space="preserve">128.000 per jaar. Het is belangrijk dat de maximum uurprijs aan de hand van objectieve criteria wordt vastgesteld en niet direct de werkelijke </w:t>
      </w:r>
      <w:proofErr w:type="spellStart"/>
      <w:r w:rsidRPr="002B7BEB">
        <w:t>uurprijzen</w:t>
      </w:r>
      <w:proofErr w:type="spellEnd"/>
      <w:r w:rsidRPr="002B7BEB">
        <w:t xml:space="preserve"> in de kinderopvang volgt</w:t>
      </w:r>
      <w:r w:rsidR="005D6154">
        <w:t>. Dit</w:t>
      </w:r>
      <w:r w:rsidR="00C757C4">
        <w:t xml:space="preserve"> </w:t>
      </w:r>
      <w:r w:rsidRPr="002B7BEB">
        <w:t xml:space="preserve">om te voorkomen dat </w:t>
      </w:r>
      <w:r w:rsidR="00C757C4">
        <w:t xml:space="preserve">er </w:t>
      </w:r>
      <w:r w:rsidRPr="002B7BEB">
        <w:t xml:space="preserve">een prikkel ontstaat waarbij hogere tarieven enkel zouden leiden tot hogere winsten en kosten hiervan worden afgewenteld op de belastingbetaler. </w:t>
      </w:r>
    </w:p>
    <w:p w14:paraId="4432DFC2" w14:textId="1138A2A8" w:rsidR="00504C46" w:rsidRPr="002B7BEB" w:rsidRDefault="002A54F2" w:rsidP="002A54F2">
      <w:r w:rsidRPr="002B7BEB">
        <w:lastRenderedPageBreak/>
        <w:t>Gezien de stevige publieke component in de financiering moet de maximum uurprijs ruimte bieden voor een doelmatige bedrijfsvoering, waarbij de toegankelijkheid zoveel mogelijk geborgd wordt. Dit wordt jaarlijks geregeld in het Besluit kinderopvangtoeslag, dat ook wordt voorgehangen in uw Kamer. Het Besluit voor de maximum uurprijs voor 2023 is op 11 oktober jl. gepubliceerd.</w:t>
      </w:r>
      <w:r w:rsidRPr="002B7BEB">
        <w:rPr>
          <w:rStyle w:val="Voetnootmarkering"/>
        </w:rPr>
        <w:footnoteReference w:id="2"/>
      </w:r>
      <w:r w:rsidRPr="002B7BEB">
        <w:t xml:space="preserve"> Onderstaande tabel laat de ontwikkeling van de maximum </w:t>
      </w:r>
      <w:proofErr w:type="spellStart"/>
      <w:r w:rsidRPr="002B7BEB">
        <w:t>uurprijzen</w:t>
      </w:r>
      <w:proofErr w:type="spellEnd"/>
      <w:r w:rsidRPr="002B7BEB">
        <w:t xml:space="preserve"> zien vanaf de introductie van de kinderopvangtoeslag in 2005 tot nu, uitgesplitst voor de dagopvang (KDV), buitenschoolse opvang (BSO) en gastouderopvang</w:t>
      </w:r>
      <w:r w:rsidRPr="002B7BEB">
        <w:rPr>
          <w:rStyle w:val="Voetnootmarkering"/>
        </w:rPr>
        <w:footnoteReference w:id="3"/>
      </w:r>
      <w:r w:rsidRPr="002B7BEB">
        <w:t xml:space="preserve"> (GOO). In de laatste kolom is de indexatiefactor opgenomen zoals die uit de reguliere indexatie zou volgen.</w:t>
      </w:r>
    </w:p>
    <w:p w14:paraId="4D9E22F4" w14:textId="77777777" w:rsidR="002A54F2" w:rsidRPr="002B7BEB" w:rsidRDefault="002A54F2" w:rsidP="002A54F2"/>
    <w:p w14:paraId="5DFFCF59" w14:textId="3B9B846F" w:rsidR="00504C46" w:rsidRPr="002B7BEB" w:rsidRDefault="002A54F2" w:rsidP="00504C46">
      <w:pPr>
        <w:rPr>
          <w:i/>
          <w:iCs/>
        </w:rPr>
      </w:pPr>
      <w:r w:rsidRPr="002B7BEB">
        <w:rPr>
          <w:i/>
          <w:iCs/>
        </w:rPr>
        <w:t xml:space="preserve">Tabel 1: ontwikkeling maximum </w:t>
      </w:r>
      <w:proofErr w:type="spellStart"/>
      <w:r w:rsidRPr="002B7BEB">
        <w:rPr>
          <w:i/>
          <w:iCs/>
        </w:rPr>
        <w:t>uurprijzen</w:t>
      </w:r>
      <w:proofErr w:type="spellEnd"/>
      <w:r w:rsidRPr="002B7BEB">
        <w:rPr>
          <w:rStyle w:val="Voetnootmarkering"/>
          <w:i/>
          <w:iCs/>
        </w:rPr>
        <w:footnoteReference w:id="4"/>
      </w:r>
    </w:p>
    <w:tbl>
      <w:tblPr>
        <w:tblStyle w:val="Lijsttabel3"/>
        <w:tblpPr w:leftFromText="141" w:rightFromText="141" w:vertAnchor="text" w:tblpY="1"/>
        <w:tblOverlap w:val="never"/>
        <w:tblW w:w="0" w:type="auto"/>
        <w:tblInd w:w="0" w:type="dxa"/>
        <w:tblLook w:val="04A0" w:firstRow="1" w:lastRow="0" w:firstColumn="1" w:lastColumn="0" w:noHBand="0" w:noVBand="1"/>
      </w:tblPr>
      <w:tblGrid>
        <w:gridCol w:w="728"/>
        <w:gridCol w:w="1110"/>
        <w:gridCol w:w="1134"/>
        <w:gridCol w:w="1134"/>
        <w:gridCol w:w="1323"/>
      </w:tblGrid>
      <w:tr w:rsidR="002A54F2" w:rsidRPr="002B7BEB" w14:paraId="69966B57" w14:textId="77777777" w:rsidTr="00D91E6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728" w:type="dxa"/>
            <w:noWrap/>
            <w:hideMark/>
          </w:tcPr>
          <w:p w14:paraId="0A3042B0" w14:textId="77777777" w:rsidR="002A54F2" w:rsidRPr="002B7BEB" w:rsidRDefault="002A54F2" w:rsidP="00D91E60">
            <w:pPr>
              <w:rPr>
                <w:color w:val="FFFFFF" w:themeColor="background1"/>
              </w:rPr>
            </w:pPr>
            <w:r w:rsidRPr="002B7BEB">
              <w:rPr>
                <w:color w:val="FFFFFF" w:themeColor="background1"/>
              </w:rPr>
              <w:t>Jaar</w:t>
            </w:r>
          </w:p>
        </w:tc>
        <w:tc>
          <w:tcPr>
            <w:tcW w:w="1110" w:type="dxa"/>
            <w:hideMark/>
          </w:tcPr>
          <w:p w14:paraId="787B21F1" w14:textId="77777777" w:rsidR="002A54F2" w:rsidRPr="002B7BEB" w:rsidRDefault="002A54F2" w:rsidP="00D91E6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B7BEB">
              <w:rPr>
                <w:color w:val="FFFFFF" w:themeColor="background1"/>
              </w:rPr>
              <w:t>KDV</w:t>
            </w:r>
          </w:p>
        </w:tc>
        <w:tc>
          <w:tcPr>
            <w:tcW w:w="1134" w:type="dxa"/>
            <w:hideMark/>
          </w:tcPr>
          <w:p w14:paraId="26D209BF" w14:textId="77777777" w:rsidR="002A54F2" w:rsidRPr="002B7BEB" w:rsidRDefault="002A54F2" w:rsidP="00D91E6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B7BEB">
              <w:rPr>
                <w:color w:val="FFFFFF" w:themeColor="background1"/>
              </w:rPr>
              <w:t>BSO</w:t>
            </w:r>
          </w:p>
        </w:tc>
        <w:tc>
          <w:tcPr>
            <w:tcW w:w="1134" w:type="dxa"/>
            <w:hideMark/>
          </w:tcPr>
          <w:p w14:paraId="62CCAD24" w14:textId="77777777" w:rsidR="002A54F2" w:rsidRPr="002B7BEB" w:rsidRDefault="002A54F2" w:rsidP="00D91E6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B7BEB">
              <w:rPr>
                <w:color w:val="FFFFFF" w:themeColor="background1"/>
              </w:rPr>
              <w:t>GOO</w:t>
            </w:r>
          </w:p>
        </w:tc>
        <w:tc>
          <w:tcPr>
            <w:tcW w:w="1323" w:type="dxa"/>
          </w:tcPr>
          <w:p w14:paraId="7BD44F4B" w14:textId="77777777" w:rsidR="00BA5131" w:rsidRDefault="002A54F2" w:rsidP="00D91E60">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roofErr w:type="spellStart"/>
            <w:r w:rsidRPr="002B7BEB">
              <w:rPr>
                <w:color w:val="FFFFFF" w:themeColor="background1"/>
              </w:rPr>
              <w:t>Indexatie</w:t>
            </w:r>
            <w:proofErr w:type="spellEnd"/>
          </w:p>
          <w:p w14:paraId="611B263A" w14:textId="62128710" w:rsidR="002A54F2" w:rsidRPr="002B7BEB" w:rsidRDefault="002A54F2" w:rsidP="00D91E6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B7BEB">
              <w:rPr>
                <w:color w:val="FFFFFF" w:themeColor="background1"/>
              </w:rPr>
              <w:t>factor</w:t>
            </w:r>
          </w:p>
        </w:tc>
      </w:tr>
      <w:tr w:rsidR="002A54F2" w:rsidRPr="002B7BEB" w14:paraId="46BCACFF"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tcPr>
          <w:p w14:paraId="4AA0D480" w14:textId="77777777" w:rsidR="002A54F2" w:rsidRPr="002B7BEB" w:rsidRDefault="002A54F2" w:rsidP="00D91E60">
            <w:r w:rsidRPr="002B7BEB">
              <w:t>2005</w:t>
            </w:r>
          </w:p>
        </w:tc>
        <w:tc>
          <w:tcPr>
            <w:tcW w:w="1110" w:type="dxa"/>
          </w:tcPr>
          <w:p w14:paraId="170521EC"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€ 5,68</w:t>
            </w:r>
          </w:p>
        </w:tc>
        <w:tc>
          <w:tcPr>
            <w:tcW w:w="1134" w:type="dxa"/>
          </w:tcPr>
          <w:p w14:paraId="3AF31208"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€ 6,13</w:t>
            </w:r>
          </w:p>
        </w:tc>
        <w:tc>
          <w:tcPr>
            <w:tcW w:w="1134" w:type="dxa"/>
          </w:tcPr>
          <w:p w14:paraId="1A0798B2" w14:textId="77777777" w:rsidR="002A54F2" w:rsidRPr="002B7BEB" w:rsidRDefault="002A54F2" w:rsidP="00D91E60">
            <w:pPr>
              <w:jc w:val="center"/>
              <w:cnfStyle w:val="000000100000" w:firstRow="0" w:lastRow="0" w:firstColumn="0" w:lastColumn="0" w:oddVBand="0" w:evenVBand="0" w:oddHBand="1" w:evenHBand="0" w:firstRowFirstColumn="0" w:firstRowLastColumn="0" w:lastRowFirstColumn="0" w:lastRowLastColumn="0"/>
            </w:pPr>
            <w:r w:rsidRPr="002B7BEB">
              <w:t>-</w:t>
            </w:r>
          </w:p>
        </w:tc>
        <w:tc>
          <w:tcPr>
            <w:tcW w:w="1323" w:type="dxa"/>
          </w:tcPr>
          <w:p w14:paraId="3079ABB3"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p>
        </w:tc>
      </w:tr>
      <w:tr w:rsidR="002A54F2" w:rsidRPr="002B7BEB" w14:paraId="36D8114A" w14:textId="77777777" w:rsidTr="00D91E60">
        <w:trPr>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4F458A9A" w14:textId="77777777" w:rsidR="002A54F2" w:rsidRPr="002B7BEB" w:rsidRDefault="002A54F2" w:rsidP="00D91E60">
            <w:r w:rsidRPr="002B7BEB">
              <w:t>2006</w:t>
            </w:r>
          </w:p>
        </w:tc>
        <w:tc>
          <w:tcPr>
            <w:tcW w:w="1110" w:type="dxa"/>
            <w:hideMark/>
          </w:tcPr>
          <w:p w14:paraId="39E3193A"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€ 5,72</w:t>
            </w:r>
          </w:p>
        </w:tc>
        <w:tc>
          <w:tcPr>
            <w:tcW w:w="1134" w:type="dxa"/>
            <w:hideMark/>
          </w:tcPr>
          <w:p w14:paraId="584B9365"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€ 6,03</w:t>
            </w:r>
            <w:r w:rsidRPr="002B7BEB">
              <w:rPr>
                <w:vertAlign w:val="superscript"/>
              </w:rPr>
              <w:t xml:space="preserve"> (-)</w:t>
            </w:r>
          </w:p>
        </w:tc>
        <w:tc>
          <w:tcPr>
            <w:tcW w:w="1134" w:type="dxa"/>
            <w:hideMark/>
          </w:tcPr>
          <w:p w14:paraId="666274E9" w14:textId="77777777" w:rsidR="002A54F2" w:rsidRPr="002B7BEB" w:rsidRDefault="002A54F2" w:rsidP="00D91E60">
            <w:pPr>
              <w:jc w:val="center"/>
              <w:cnfStyle w:val="000000000000" w:firstRow="0" w:lastRow="0" w:firstColumn="0" w:lastColumn="0" w:oddVBand="0" w:evenVBand="0" w:oddHBand="0" w:evenHBand="0" w:firstRowFirstColumn="0" w:firstRowLastColumn="0" w:lastRowFirstColumn="0" w:lastRowLastColumn="0"/>
            </w:pPr>
            <w:r w:rsidRPr="002B7BEB">
              <w:t>-</w:t>
            </w:r>
          </w:p>
        </w:tc>
        <w:tc>
          <w:tcPr>
            <w:tcW w:w="1323" w:type="dxa"/>
          </w:tcPr>
          <w:p w14:paraId="6A2C0C12"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0,78%</w:t>
            </w:r>
          </w:p>
        </w:tc>
      </w:tr>
      <w:tr w:rsidR="002A54F2" w:rsidRPr="002B7BEB" w14:paraId="7C5E5E0C"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1A1C1C4D" w14:textId="77777777" w:rsidR="002A54F2" w:rsidRPr="002B7BEB" w:rsidRDefault="002A54F2" w:rsidP="00D91E60">
            <w:r w:rsidRPr="002B7BEB">
              <w:t>2007</w:t>
            </w:r>
          </w:p>
        </w:tc>
        <w:tc>
          <w:tcPr>
            <w:tcW w:w="1110" w:type="dxa"/>
            <w:hideMark/>
          </w:tcPr>
          <w:p w14:paraId="43767656"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€ 5,86</w:t>
            </w:r>
          </w:p>
        </w:tc>
        <w:tc>
          <w:tcPr>
            <w:tcW w:w="1134" w:type="dxa"/>
            <w:hideMark/>
          </w:tcPr>
          <w:p w14:paraId="32A69C35"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xml:space="preserve">€ 6,02 </w:t>
            </w:r>
            <w:r w:rsidRPr="002B7BEB">
              <w:rPr>
                <w:vertAlign w:val="superscript"/>
              </w:rPr>
              <w:t>(-)</w:t>
            </w:r>
          </w:p>
        </w:tc>
        <w:tc>
          <w:tcPr>
            <w:tcW w:w="1134" w:type="dxa"/>
            <w:hideMark/>
          </w:tcPr>
          <w:p w14:paraId="3CC3645D" w14:textId="77777777" w:rsidR="002A54F2" w:rsidRPr="002B7BEB" w:rsidRDefault="002A54F2" w:rsidP="00D91E60">
            <w:pPr>
              <w:jc w:val="center"/>
              <w:cnfStyle w:val="000000100000" w:firstRow="0" w:lastRow="0" w:firstColumn="0" w:lastColumn="0" w:oddVBand="0" w:evenVBand="0" w:oddHBand="1" w:evenHBand="0" w:firstRowFirstColumn="0" w:firstRowLastColumn="0" w:lastRowFirstColumn="0" w:lastRowLastColumn="0"/>
            </w:pPr>
            <w:r w:rsidRPr="002B7BEB">
              <w:t>-</w:t>
            </w:r>
          </w:p>
        </w:tc>
        <w:tc>
          <w:tcPr>
            <w:tcW w:w="1323" w:type="dxa"/>
          </w:tcPr>
          <w:p w14:paraId="2EEE05B9"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2,43%</w:t>
            </w:r>
          </w:p>
        </w:tc>
      </w:tr>
      <w:tr w:rsidR="002A54F2" w:rsidRPr="002B7BEB" w14:paraId="23563E2B" w14:textId="77777777" w:rsidTr="00D91E60">
        <w:trPr>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4B4AFC60" w14:textId="77777777" w:rsidR="002A54F2" w:rsidRPr="002B7BEB" w:rsidRDefault="002A54F2" w:rsidP="00D91E60">
            <w:r w:rsidRPr="002B7BEB">
              <w:t>2008</w:t>
            </w:r>
          </w:p>
        </w:tc>
        <w:tc>
          <w:tcPr>
            <w:tcW w:w="1110" w:type="dxa"/>
            <w:hideMark/>
          </w:tcPr>
          <w:p w14:paraId="16C0DF32"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xml:space="preserve">€ 6,10 </w:t>
            </w:r>
          </w:p>
        </w:tc>
        <w:tc>
          <w:tcPr>
            <w:tcW w:w="1134" w:type="dxa"/>
            <w:hideMark/>
          </w:tcPr>
          <w:p w14:paraId="003F3F5C"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xml:space="preserve">€ 6,10 </w:t>
            </w:r>
            <w:r w:rsidRPr="002B7BEB">
              <w:rPr>
                <w:vertAlign w:val="superscript"/>
              </w:rPr>
              <w:t>(-)</w:t>
            </w:r>
          </w:p>
        </w:tc>
        <w:tc>
          <w:tcPr>
            <w:tcW w:w="1134" w:type="dxa"/>
            <w:hideMark/>
          </w:tcPr>
          <w:p w14:paraId="156E56C2" w14:textId="77777777" w:rsidR="002A54F2" w:rsidRPr="002B7BEB" w:rsidRDefault="002A54F2" w:rsidP="00D91E60">
            <w:pPr>
              <w:jc w:val="center"/>
              <w:cnfStyle w:val="000000000000" w:firstRow="0" w:lastRow="0" w:firstColumn="0" w:lastColumn="0" w:oddVBand="0" w:evenVBand="0" w:oddHBand="0" w:evenHBand="0" w:firstRowFirstColumn="0" w:firstRowLastColumn="0" w:lastRowFirstColumn="0" w:lastRowLastColumn="0"/>
            </w:pPr>
            <w:r w:rsidRPr="002B7BEB">
              <w:t>-</w:t>
            </w:r>
          </w:p>
        </w:tc>
        <w:tc>
          <w:tcPr>
            <w:tcW w:w="1323" w:type="dxa"/>
          </w:tcPr>
          <w:p w14:paraId="45031C01"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4,17%</w:t>
            </w:r>
          </w:p>
        </w:tc>
      </w:tr>
      <w:tr w:rsidR="002A54F2" w:rsidRPr="002B7BEB" w14:paraId="0F3A88FA"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3E9BC193" w14:textId="77777777" w:rsidR="002A54F2" w:rsidRPr="002B7BEB" w:rsidRDefault="002A54F2" w:rsidP="00D91E60">
            <w:r w:rsidRPr="002B7BEB">
              <w:t>2009</w:t>
            </w:r>
          </w:p>
        </w:tc>
        <w:tc>
          <w:tcPr>
            <w:tcW w:w="1110" w:type="dxa"/>
            <w:hideMark/>
          </w:tcPr>
          <w:p w14:paraId="785E08F4"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xml:space="preserve">€ 6,10 </w:t>
            </w:r>
            <w:r w:rsidRPr="002B7BEB">
              <w:rPr>
                <w:vertAlign w:val="superscript"/>
              </w:rPr>
              <w:t>(-)</w:t>
            </w:r>
          </w:p>
        </w:tc>
        <w:tc>
          <w:tcPr>
            <w:tcW w:w="1134" w:type="dxa"/>
            <w:hideMark/>
          </w:tcPr>
          <w:p w14:paraId="4A8A6FB4"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xml:space="preserve">€ 6,10 </w:t>
            </w:r>
            <w:r w:rsidRPr="002B7BEB">
              <w:rPr>
                <w:vertAlign w:val="superscript"/>
              </w:rPr>
              <w:t>(-)</w:t>
            </w:r>
          </w:p>
        </w:tc>
        <w:tc>
          <w:tcPr>
            <w:tcW w:w="1134" w:type="dxa"/>
            <w:hideMark/>
          </w:tcPr>
          <w:p w14:paraId="3BEC17FE" w14:textId="77777777" w:rsidR="002A54F2" w:rsidRPr="002B7BEB" w:rsidRDefault="002A54F2" w:rsidP="00D91E60">
            <w:pPr>
              <w:jc w:val="center"/>
              <w:cnfStyle w:val="000000100000" w:firstRow="0" w:lastRow="0" w:firstColumn="0" w:lastColumn="0" w:oddVBand="0" w:evenVBand="0" w:oddHBand="1" w:evenHBand="0" w:firstRowFirstColumn="0" w:firstRowLastColumn="0" w:lastRowFirstColumn="0" w:lastRowLastColumn="0"/>
            </w:pPr>
            <w:r w:rsidRPr="002B7BEB">
              <w:t>-</w:t>
            </w:r>
          </w:p>
        </w:tc>
        <w:tc>
          <w:tcPr>
            <w:tcW w:w="1323" w:type="dxa"/>
          </w:tcPr>
          <w:p w14:paraId="6B614FAD"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3,83%</w:t>
            </w:r>
          </w:p>
        </w:tc>
      </w:tr>
      <w:tr w:rsidR="002A54F2" w:rsidRPr="002B7BEB" w14:paraId="00C74CEE" w14:textId="77777777" w:rsidTr="00D91E60">
        <w:trPr>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53A58C4D" w14:textId="77777777" w:rsidR="002A54F2" w:rsidRPr="002B7BEB" w:rsidRDefault="002A54F2" w:rsidP="00D91E60">
            <w:r w:rsidRPr="002B7BEB">
              <w:t>2010</w:t>
            </w:r>
          </w:p>
        </w:tc>
        <w:tc>
          <w:tcPr>
            <w:tcW w:w="1110" w:type="dxa"/>
            <w:hideMark/>
          </w:tcPr>
          <w:p w14:paraId="110449A1"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€ 6,25</w:t>
            </w:r>
          </w:p>
        </w:tc>
        <w:tc>
          <w:tcPr>
            <w:tcW w:w="1134" w:type="dxa"/>
            <w:hideMark/>
          </w:tcPr>
          <w:p w14:paraId="6C896F4A"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xml:space="preserve">€ 5,82 </w:t>
            </w:r>
            <w:r w:rsidRPr="002B7BEB">
              <w:rPr>
                <w:vertAlign w:val="superscript"/>
              </w:rPr>
              <w:t>(-)</w:t>
            </w:r>
          </w:p>
        </w:tc>
        <w:tc>
          <w:tcPr>
            <w:tcW w:w="1134" w:type="dxa"/>
            <w:hideMark/>
          </w:tcPr>
          <w:p w14:paraId="6F7F66DC"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xml:space="preserve">€ 5,00 </w:t>
            </w:r>
            <w:r w:rsidRPr="002B7BEB">
              <w:rPr>
                <w:vertAlign w:val="superscript"/>
              </w:rPr>
              <w:t>(-)</w:t>
            </w:r>
          </w:p>
        </w:tc>
        <w:tc>
          <w:tcPr>
            <w:tcW w:w="1323" w:type="dxa"/>
          </w:tcPr>
          <w:p w14:paraId="059A053B"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rPr>
                <w:lang w:val="nl-NL"/>
              </w:rPr>
            </w:pPr>
            <w:r w:rsidRPr="002B7BEB">
              <w:rPr>
                <w:lang w:val="nl-NL"/>
              </w:rPr>
              <w:t>2,31%</w:t>
            </w:r>
          </w:p>
        </w:tc>
      </w:tr>
      <w:tr w:rsidR="002A54F2" w:rsidRPr="002B7BEB" w14:paraId="7D03C289"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78DEE52E" w14:textId="77777777" w:rsidR="002A54F2" w:rsidRPr="002B7BEB" w:rsidRDefault="002A54F2" w:rsidP="00D91E60">
            <w:r w:rsidRPr="002B7BEB">
              <w:t>2011</w:t>
            </w:r>
          </w:p>
        </w:tc>
        <w:tc>
          <w:tcPr>
            <w:tcW w:w="1110" w:type="dxa"/>
            <w:hideMark/>
          </w:tcPr>
          <w:p w14:paraId="1A0B01B0"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€ 6,36</w:t>
            </w:r>
          </w:p>
        </w:tc>
        <w:tc>
          <w:tcPr>
            <w:tcW w:w="1134" w:type="dxa"/>
            <w:hideMark/>
          </w:tcPr>
          <w:p w14:paraId="334C7236"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€ 5,93</w:t>
            </w:r>
          </w:p>
        </w:tc>
        <w:tc>
          <w:tcPr>
            <w:tcW w:w="1134" w:type="dxa"/>
            <w:hideMark/>
          </w:tcPr>
          <w:p w14:paraId="16C66114"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€ 5,09</w:t>
            </w:r>
          </w:p>
        </w:tc>
        <w:tc>
          <w:tcPr>
            <w:tcW w:w="1323" w:type="dxa"/>
          </w:tcPr>
          <w:p w14:paraId="5386FF7A"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1,81%</w:t>
            </w:r>
          </w:p>
        </w:tc>
      </w:tr>
      <w:tr w:rsidR="002A54F2" w:rsidRPr="002B7BEB" w14:paraId="3E7A2B36" w14:textId="77777777" w:rsidTr="00D91E60">
        <w:trPr>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144AEC19" w14:textId="77777777" w:rsidR="002A54F2" w:rsidRPr="002B7BEB" w:rsidRDefault="002A54F2" w:rsidP="00D91E60">
            <w:r w:rsidRPr="002B7BEB">
              <w:t>2012</w:t>
            </w:r>
          </w:p>
        </w:tc>
        <w:tc>
          <w:tcPr>
            <w:tcW w:w="1110" w:type="dxa"/>
            <w:hideMark/>
          </w:tcPr>
          <w:p w14:paraId="195024F8"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xml:space="preserve">€ 6,36 </w:t>
            </w:r>
            <w:r w:rsidRPr="002B7BEB">
              <w:rPr>
                <w:vertAlign w:val="superscript"/>
              </w:rPr>
              <w:t>(-)</w:t>
            </w:r>
          </w:p>
        </w:tc>
        <w:tc>
          <w:tcPr>
            <w:tcW w:w="1134" w:type="dxa"/>
            <w:hideMark/>
          </w:tcPr>
          <w:p w14:paraId="32A7062D"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xml:space="preserve">€ 5,93 </w:t>
            </w:r>
            <w:r w:rsidRPr="002B7BEB">
              <w:rPr>
                <w:vertAlign w:val="superscript"/>
              </w:rPr>
              <w:t>(-)</w:t>
            </w:r>
          </w:p>
        </w:tc>
        <w:tc>
          <w:tcPr>
            <w:tcW w:w="1134" w:type="dxa"/>
            <w:hideMark/>
          </w:tcPr>
          <w:p w14:paraId="4CA4BC25"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xml:space="preserve">€ 5,09 </w:t>
            </w:r>
            <w:r w:rsidRPr="002B7BEB">
              <w:rPr>
                <w:vertAlign w:val="superscript"/>
              </w:rPr>
              <w:t>(-)</w:t>
            </w:r>
          </w:p>
        </w:tc>
        <w:tc>
          <w:tcPr>
            <w:tcW w:w="1323" w:type="dxa"/>
          </w:tcPr>
          <w:p w14:paraId="66D2C270"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3,88%</w:t>
            </w:r>
          </w:p>
        </w:tc>
      </w:tr>
      <w:tr w:rsidR="002A54F2" w:rsidRPr="002B7BEB" w14:paraId="223FEFE8"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6FD89F5D" w14:textId="77777777" w:rsidR="002A54F2" w:rsidRPr="002B7BEB" w:rsidRDefault="002A54F2" w:rsidP="00D91E60">
            <w:r w:rsidRPr="002B7BEB">
              <w:t>2013</w:t>
            </w:r>
          </w:p>
        </w:tc>
        <w:tc>
          <w:tcPr>
            <w:tcW w:w="1110" w:type="dxa"/>
            <w:hideMark/>
          </w:tcPr>
          <w:p w14:paraId="6466B070"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€ 6,46</w:t>
            </w:r>
          </w:p>
        </w:tc>
        <w:tc>
          <w:tcPr>
            <w:tcW w:w="1134" w:type="dxa"/>
            <w:hideMark/>
          </w:tcPr>
          <w:p w14:paraId="528BAA0E"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€ 6,02</w:t>
            </w:r>
          </w:p>
        </w:tc>
        <w:tc>
          <w:tcPr>
            <w:tcW w:w="1134" w:type="dxa"/>
            <w:hideMark/>
          </w:tcPr>
          <w:p w14:paraId="5307AE1B"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€ 5,17</w:t>
            </w:r>
          </w:p>
        </w:tc>
        <w:tc>
          <w:tcPr>
            <w:tcW w:w="1323" w:type="dxa"/>
          </w:tcPr>
          <w:p w14:paraId="68AF2589"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1,26%</w:t>
            </w:r>
          </w:p>
        </w:tc>
      </w:tr>
      <w:tr w:rsidR="002A54F2" w:rsidRPr="002B7BEB" w14:paraId="05313FC4" w14:textId="77777777" w:rsidTr="00D91E60">
        <w:trPr>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09E369C8" w14:textId="77777777" w:rsidR="002A54F2" w:rsidRPr="002B7BEB" w:rsidRDefault="002A54F2" w:rsidP="00D91E60">
            <w:r w:rsidRPr="002B7BEB">
              <w:t>2014</w:t>
            </w:r>
          </w:p>
        </w:tc>
        <w:tc>
          <w:tcPr>
            <w:tcW w:w="1110" w:type="dxa"/>
            <w:hideMark/>
          </w:tcPr>
          <w:p w14:paraId="745DD09B"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€ 6,70</w:t>
            </w:r>
          </w:p>
        </w:tc>
        <w:tc>
          <w:tcPr>
            <w:tcW w:w="1134" w:type="dxa"/>
            <w:hideMark/>
          </w:tcPr>
          <w:p w14:paraId="4E18B7EE"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€ 6,25</w:t>
            </w:r>
          </w:p>
        </w:tc>
        <w:tc>
          <w:tcPr>
            <w:tcW w:w="1134" w:type="dxa"/>
            <w:hideMark/>
          </w:tcPr>
          <w:p w14:paraId="2554F569"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€ 5,37</w:t>
            </w:r>
          </w:p>
        </w:tc>
        <w:tc>
          <w:tcPr>
            <w:tcW w:w="1323" w:type="dxa"/>
          </w:tcPr>
          <w:p w14:paraId="47578FB7"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3,85%</w:t>
            </w:r>
          </w:p>
        </w:tc>
      </w:tr>
      <w:tr w:rsidR="002A54F2" w:rsidRPr="002B7BEB" w14:paraId="24C6CE8A"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4D680557" w14:textId="77777777" w:rsidR="002A54F2" w:rsidRPr="002B7BEB" w:rsidRDefault="002A54F2" w:rsidP="00D91E60">
            <w:r w:rsidRPr="002B7BEB">
              <w:t>2015</w:t>
            </w:r>
          </w:p>
        </w:tc>
        <w:tc>
          <w:tcPr>
            <w:tcW w:w="1110" w:type="dxa"/>
            <w:hideMark/>
          </w:tcPr>
          <w:p w14:paraId="2AA1AADB"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€ 6,84</w:t>
            </w:r>
          </w:p>
        </w:tc>
        <w:tc>
          <w:tcPr>
            <w:tcW w:w="1134" w:type="dxa"/>
            <w:hideMark/>
          </w:tcPr>
          <w:p w14:paraId="17245BA4"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€ 6,38</w:t>
            </w:r>
          </w:p>
        </w:tc>
        <w:tc>
          <w:tcPr>
            <w:tcW w:w="1134" w:type="dxa"/>
            <w:hideMark/>
          </w:tcPr>
          <w:p w14:paraId="68DC7260"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€ 5,48</w:t>
            </w:r>
          </w:p>
        </w:tc>
        <w:tc>
          <w:tcPr>
            <w:tcW w:w="1323" w:type="dxa"/>
          </w:tcPr>
          <w:p w14:paraId="6C1CB7DF"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2,03%</w:t>
            </w:r>
          </w:p>
        </w:tc>
      </w:tr>
      <w:tr w:rsidR="002A54F2" w:rsidRPr="002B7BEB" w14:paraId="2E40E61F" w14:textId="77777777" w:rsidTr="00D91E60">
        <w:trPr>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79EE4697" w14:textId="77777777" w:rsidR="002A54F2" w:rsidRPr="002B7BEB" w:rsidRDefault="002A54F2" w:rsidP="00D91E60">
            <w:r w:rsidRPr="002B7BEB">
              <w:t>2016</w:t>
            </w:r>
          </w:p>
        </w:tc>
        <w:tc>
          <w:tcPr>
            <w:tcW w:w="1110" w:type="dxa"/>
            <w:hideMark/>
          </w:tcPr>
          <w:p w14:paraId="4517137B"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€ 6,89</w:t>
            </w:r>
          </w:p>
        </w:tc>
        <w:tc>
          <w:tcPr>
            <w:tcW w:w="1134" w:type="dxa"/>
            <w:hideMark/>
          </w:tcPr>
          <w:p w14:paraId="21531CA5"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€ 6,42</w:t>
            </w:r>
          </w:p>
        </w:tc>
        <w:tc>
          <w:tcPr>
            <w:tcW w:w="1134" w:type="dxa"/>
            <w:hideMark/>
          </w:tcPr>
          <w:p w14:paraId="0C7E99F2"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€ 5,52</w:t>
            </w:r>
          </w:p>
        </w:tc>
        <w:tc>
          <w:tcPr>
            <w:tcW w:w="1323" w:type="dxa"/>
          </w:tcPr>
          <w:p w14:paraId="6FE48EA3"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0,69%</w:t>
            </w:r>
          </w:p>
        </w:tc>
      </w:tr>
      <w:tr w:rsidR="002A54F2" w:rsidRPr="002B7BEB" w14:paraId="10D8D14E"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0AC9041D" w14:textId="77777777" w:rsidR="002A54F2" w:rsidRPr="002B7BEB" w:rsidRDefault="002A54F2" w:rsidP="00D91E60">
            <w:r w:rsidRPr="002B7BEB">
              <w:t>2017</w:t>
            </w:r>
          </w:p>
        </w:tc>
        <w:tc>
          <w:tcPr>
            <w:tcW w:w="1110" w:type="dxa"/>
            <w:hideMark/>
          </w:tcPr>
          <w:p w14:paraId="5CAF7FA3"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xml:space="preserve">€ 7,18 </w:t>
            </w:r>
            <w:r w:rsidRPr="002B7BEB">
              <w:rPr>
                <w:vertAlign w:val="superscript"/>
              </w:rPr>
              <w:t>(+)</w:t>
            </w:r>
          </w:p>
        </w:tc>
        <w:tc>
          <w:tcPr>
            <w:tcW w:w="1134" w:type="dxa"/>
            <w:hideMark/>
          </w:tcPr>
          <w:p w14:paraId="53C06568"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xml:space="preserve">€ 6,69 </w:t>
            </w:r>
            <w:r w:rsidRPr="002B7BEB">
              <w:rPr>
                <w:vertAlign w:val="superscript"/>
              </w:rPr>
              <w:t>(+)</w:t>
            </w:r>
            <w:r w:rsidRPr="002B7BEB">
              <w:br/>
            </w:r>
          </w:p>
        </w:tc>
        <w:tc>
          <w:tcPr>
            <w:tcW w:w="1134" w:type="dxa"/>
            <w:hideMark/>
          </w:tcPr>
          <w:p w14:paraId="16FF34C7"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xml:space="preserve">€ 5,75 </w:t>
            </w:r>
            <w:r w:rsidRPr="002B7BEB">
              <w:rPr>
                <w:vertAlign w:val="superscript"/>
              </w:rPr>
              <w:t>(+)</w:t>
            </w:r>
          </w:p>
        </w:tc>
        <w:tc>
          <w:tcPr>
            <w:tcW w:w="1323" w:type="dxa"/>
          </w:tcPr>
          <w:p w14:paraId="579882A5"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1,63%</w:t>
            </w:r>
          </w:p>
        </w:tc>
      </w:tr>
      <w:tr w:rsidR="002A54F2" w:rsidRPr="002B7BEB" w14:paraId="59E8E809" w14:textId="77777777" w:rsidTr="00D91E60">
        <w:trPr>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68E25D3F" w14:textId="77777777" w:rsidR="002A54F2" w:rsidRPr="002B7BEB" w:rsidRDefault="002A54F2" w:rsidP="00D91E60">
            <w:r w:rsidRPr="002B7BEB">
              <w:t>2018</w:t>
            </w:r>
          </w:p>
        </w:tc>
        <w:tc>
          <w:tcPr>
            <w:tcW w:w="1110" w:type="dxa"/>
            <w:hideMark/>
          </w:tcPr>
          <w:p w14:paraId="4F2037C4"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xml:space="preserve">€ 7,45 </w:t>
            </w:r>
            <w:r w:rsidRPr="002B7BEB">
              <w:rPr>
                <w:vertAlign w:val="superscript"/>
              </w:rPr>
              <w:t>(+)</w:t>
            </w:r>
          </w:p>
        </w:tc>
        <w:tc>
          <w:tcPr>
            <w:tcW w:w="1134" w:type="dxa"/>
            <w:hideMark/>
          </w:tcPr>
          <w:p w14:paraId="22083A0A"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xml:space="preserve">€ 6,95 </w:t>
            </w:r>
            <w:r w:rsidRPr="002B7BEB">
              <w:rPr>
                <w:vertAlign w:val="superscript"/>
              </w:rPr>
              <w:t>(+)</w:t>
            </w:r>
          </w:p>
        </w:tc>
        <w:tc>
          <w:tcPr>
            <w:tcW w:w="1134" w:type="dxa"/>
            <w:hideMark/>
          </w:tcPr>
          <w:p w14:paraId="30A75153"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€ 5,91</w:t>
            </w:r>
          </w:p>
        </w:tc>
        <w:tc>
          <w:tcPr>
            <w:tcW w:w="1323" w:type="dxa"/>
          </w:tcPr>
          <w:p w14:paraId="1DE79FC4"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2,74%</w:t>
            </w:r>
          </w:p>
        </w:tc>
      </w:tr>
      <w:tr w:rsidR="002A54F2" w:rsidRPr="002B7BEB" w14:paraId="176F2C15"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571A8632" w14:textId="77777777" w:rsidR="002A54F2" w:rsidRPr="002B7BEB" w:rsidRDefault="002A54F2" w:rsidP="00D91E60">
            <w:r w:rsidRPr="002B7BEB">
              <w:t>2019</w:t>
            </w:r>
          </w:p>
        </w:tc>
        <w:tc>
          <w:tcPr>
            <w:tcW w:w="1110" w:type="dxa"/>
            <w:hideMark/>
          </w:tcPr>
          <w:p w14:paraId="2F9B1FB4"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xml:space="preserve">€ 8,02 </w:t>
            </w:r>
            <w:r w:rsidRPr="002B7BEB">
              <w:rPr>
                <w:vertAlign w:val="superscript"/>
              </w:rPr>
              <w:t>(+)</w:t>
            </w:r>
          </w:p>
        </w:tc>
        <w:tc>
          <w:tcPr>
            <w:tcW w:w="1134" w:type="dxa"/>
            <w:hideMark/>
          </w:tcPr>
          <w:p w14:paraId="6D1C19AD"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xml:space="preserve">€ 6,89 </w:t>
            </w:r>
            <w:r w:rsidRPr="002B7BEB">
              <w:rPr>
                <w:vertAlign w:val="superscript"/>
              </w:rPr>
              <w:t>(-)</w:t>
            </w:r>
          </w:p>
        </w:tc>
        <w:tc>
          <w:tcPr>
            <w:tcW w:w="1134" w:type="dxa"/>
            <w:hideMark/>
          </w:tcPr>
          <w:p w14:paraId="6A11E127"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€ 6,15</w:t>
            </w:r>
          </w:p>
        </w:tc>
        <w:tc>
          <w:tcPr>
            <w:tcW w:w="1323" w:type="dxa"/>
          </w:tcPr>
          <w:p w14:paraId="4AF7972B"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4,02%</w:t>
            </w:r>
          </w:p>
        </w:tc>
      </w:tr>
      <w:tr w:rsidR="002A54F2" w:rsidRPr="002B7BEB" w14:paraId="574FF55A" w14:textId="77777777" w:rsidTr="00D91E60">
        <w:trPr>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1EFAE4D8" w14:textId="77777777" w:rsidR="002A54F2" w:rsidRPr="002B7BEB" w:rsidRDefault="002A54F2" w:rsidP="00D91E60">
            <w:r w:rsidRPr="002B7BEB">
              <w:t>2020</w:t>
            </w:r>
          </w:p>
        </w:tc>
        <w:tc>
          <w:tcPr>
            <w:tcW w:w="1110" w:type="dxa"/>
            <w:hideMark/>
          </w:tcPr>
          <w:p w14:paraId="1A29E353"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€ 8,17</w:t>
            </w:r>
          </w:p>
        </w:tc>
        <w:tc>
          <w:tcPr>
            <w:tcW w:w="1134" w:type="dxa"/>
            <w:hideMark/>
          </w:tcPr>
          <w:p w14:paraId="5402AB1D"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€ 7,02</w:t>
            </w:r>
          </w:p>
        </w:tc>
        <w:tc>
          <w:tcPr>
            <w:tcW w:w="1134" w:type="dxa"/>
            <w:hideMark/>
          </w:tcPr>
          <w:p w14:paraId="056B47B6"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€ 6,15</w:t>
            </w:r>
          </w:p>
        </w:tc>
        <w:tc>
          <w:tcPr>
            <w:tcW w:w="1323" w:type="dxa"/>
          </w:tcPr>
          <w:p w14:paraId="7FAAD23A"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1,89%</w:t>
            </w:r>
          </w:p>
        </w:tc>
      </w:tr>
      <w:tr w:rsidR="002A54F2" w:rsidRPr="002B7BEB" w14:paraId="06C225E2"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31846852" w14:textId="77777777" w:rsidR="002A54F2" w:rsidRPr="002B7BEB" w:rsidRDefault="002A54F2" w:rsidP="00D91E60">
            <w:r w:rsidRPr="002B7BEB">
              <w:t>2021</w:t>
            </w:r>
          </w:p>
        </w:tc>
        <w:tc>
          <w:tcPr>
            <w:tcW w:w="1110" w:type="dxa"/>
            <w:hideMark/>
          </w:tcPr>
          <w:p w14:paraId="3FA2D779"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€ 8,46</w:t>
            </w:r>
          </w:p>
        </w:tc>
        <w:tc>
          <w:tcPr>
            <w:tcW w:w="1134" w:type="dxa"/>
            <w:hideMark/>
          </w:tcPr>
          <w:p w14:paraId="653113F2"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€ 7,27</w:t>
            </w:r>
          </w:p>
        </w:tc>
        <w:tc>
          <w:tcPr>
            <w:tcW w:w="1134" w:type="dxa"/>
            <w:hideMark/>
          </w:tcPr>
          <w:p w14:paraId="26D726B3"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€ 6,49</w:t>
            </w:r>
          </w:p>
        </w:tc>
        <w:tc>
          <w:tcPr>
            <w:tcW w:w="1323" w:type="dxa"/>
          </w:tcPr>
          <w:p w14:paraId="26F45734"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3,50%</w:t>
            </w:r>
          </w:p>
        </w:tc>
      </w:tr>
      <w:tr w:rsidR="002A54F2" w:rsidRPr="002B7BEB" w14:paraId="69C33C38" w14:textId="77777777" w:rsidTr="00D91E60">
        <w:trPr>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61340739" w14:textId="77777777" w:rsidR="002A54F2" w:rsidRPr="002B7BEB" w:rsidRDefault="002A54F2" w:rsidP="00D91E60">
            <w:r w:rsidRPr="002B7BEB">
              <w:t>2022</w:t>
            </w:r>
          </w:p>
        </w:tc>
        <w:tc>
          <w:tcPr>
            <w:tcW w:w="1110" w:type="dxa"/>
            <w:hideMark/>
          </w:tcPr>
          <w:p w14:paraId="2405F16C"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€ 8,50</w:t>
            </w:r>
          </w:p>
        </w:tc>
        <w:tc>
          <w:tcPr>
            <w:tcW w:w="1134" w:type="dxa"/>
            <w:hideMark/>
          </w:tcPr>
          <w:p w14:paraId="130B7C4D"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€ 7,31</w:t>
            </w:r>
          </w:p>
        </w:tc>
        <w:tc>
          <w:tcPr>
            <w:tcW w:w="1134" w:type="dxa"/>
            <w:hideMark/>
          </w:tcPr>
          <w:p w14:paraId="3AAC5510"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€ 6,52</w:t>
            </w:r>
          </w:p>
        </w:tc>
        <w:tc>
          <w:tcPr>
            <w:tcW w:w="1323" w:type="dxa"/>
          </w:tcPr>
          <w:p w14:paraId="00481E68" w14:textId="77777777" w:rsidR="002A54F2" w:rsidRPr="002B7BEB" w:rsidRDefault="002A54F2" w:rsidP="00D91E60">
            <w:pPr>
              <w:cnfStyle w:val="000000000000" w:firstRow="0" w:lastRow="0" w:firstColumn="0" w:lastColumn="0" w:oddVBand="0" w:evenVBand="0" w:oddHBand="0" w:evenHBand="0" w:firstRowFirstColumn="0" w:firstRowLastColumn="0" w:lastRowFirstColumn="0" w:lastRowLastColumn="0"/>
            </w:pPr>
            <w:r w:rsidRPr="002B7BEB">
              <w:t>0,51%</w:t>
            </w:r>
          </w:p>
        </w:tc>
      </w:tr>
      <w:tr w:rsidR="002A54F2" w:rsidRPr="002B7BEB" w14:paraId="11E2327B" w14:textId="77777777" w:rsidTr="00D91E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dxa"/>
            <w:noWrap/>
            <w:hideMark/>
          </w:tcPr>
          <w:p w14:paraId="01EA1248" w14:textId="77777777" w:rsidR="002A54F2" w:rsidRPr="002B7BEB" w:rsidRDefault="002A54F2" w:rsidP="00D91E60">
            <w:r w:rsidRPr="002B7BEB">
              <w:t>2023</w:t>
            </w:r>
          </w:p>
        </w:tc>
        <w:tc>
          <w:tcPr>
            <w:tcW w:w="1110" w:type="dxa"/>
            <w:hideMark/>
          </w:tcPr>
          <w:p w14:paraId="0BCBFF2B"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€ 8,97</w:t>
            </w:r>
          </w:p>
        </w:tc>
        <w:tc>
          <w:tcPr>
            <w:tcW w:w="1134" w:type="dxa"/>
            <w:hideMark/>
          </w:tcPr>
          <w:p w14:paraId="2C08D224"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€ 7,72</w:t>
            </w:r>
          </w:p>
        </w:tc>
        <w:tc>
          <w:tcPr>
            <w:tcW w:w="1134" w:type="dxa"/>
            <w:hideMark/>
          </w:tcPr>
          <w:p w14:paraId="69727E6A"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 xml:space="preserve">€ 6,73 </w:t>
            </w:r>
            <w:r w:rsidRPr="002B7BEB">
              <w:rPr>
                <w:vertAlign w:val="superscript"/>
              </w:rPr>
              <w:t>(-)</w:t>
            </w:r>
          </w:p>
        </w:tc>
        <w:tc>
          <w:tcPr>
            <w:tcW w:w="1323" w:type="dxa"/>
          </w:tcPr>
          <w:p w14:paraId="6868A72C" w14:textId="77777777" w:rsidR="002A54F2" w:rsidRPr="002B7BEB" w:rsidRDefault="002A54F2" w:rsidP="00D91E60">
            <w:pPr>
              <w:cnfStyle w:val="000000100000" w:firstRow="0" w:lastRow="0" w:firstColumn="0" w:lastColumn="0" w:oddVBand="0" w:evenVBand="0" w:oddHBand="1" w:evenHBand="0" w:firstRowFirstColumn="0" w:firstRowLastColumn="0" w:lastRowFirstColumn="0" w:lastRowLastColumn="0"/>
            </w:pPr>
            <w:r w:rsidRPr="002B7BEB">
              <w:t>5,58%</w:t>
            </w:r>
          </w:p>
        </w:tc>
      </w:tr>
    </w:tbl>
    <w:p w14:paraId="1FE32CC2" w14:textId="352C2E52" w:rsidR="00504C46" w:rsidRPr="002B7BEB" w:rsidRDefault="00504C46" w:rsidP="00504C46"/>
    <w:p w14:paraId="7AF9DDAC" w14:textId="5EBA002D" w:rsidR="002A54F2" w:rsidRPr="002B7BEB" w:rsidRDefault="002A54F2" w:rsidP="00504C46"/>
    <w:p w14:paraId="20A59F62" w14:textId="77777777" w:rsidR="002A54F2" w:rsidRPr="002B7BEB" w:rsidRDefault="002A54F2" w:rsidP="00504C46"/>
    <w:p w14:paraId="728B7355" w14:textId="53CDF03A" w:rsidR="00504C46" w:rsidRPr="002B7BEB" w:rsidRDefault="00504C46" w:rsidP="00504C46"/>
    <w:p w14:paraId="1E85CC12" w14:textId="0DF290B4" w:rsidR="00504C46" w:rsidRPr="002B7BEB" w:rsidRDefault="00504C46" w:rsidP="00504C46"/>
    <w:p w14:paraId="2DA60BC7" w14:textId="561EA895" w:rsidR="00504C46" w:rsidRPr="002B7BEB" w:rsidRDefault="00504C46" w:rsidP="00504C46"/>
    <w:p w14:paraId="71364D6B" w14:textId="4B44F449" w:rsidR="00504C46" w:rsidRPr="002B7BEB" w:rsidRDefault="00504C46" w:rsidP="00504C46"/>
    <w:p w14:paraId="2F5C7C72" w14:textId="0A1EF8C9" w:rsidR="00504C46" w:rsidRPr="002B7BEB" w:rsidRDefault="00504C46" w:rsidP="00504C46"/>
    <w:p w14:paraId="613AE28D" w14:textId="2B122985" w:rsidR="00504C46" w:rsidRPr="002B7BEB" w:rsidRDefault="00504C46" w:rsidP="00504C46"/>
    <w:p w14:paraId="72CF952D" w14:textId="209AD297" w:rsidR="00504C46" w:rsidRPr="002B7BEB" w:rsidRDefault="00504C46" w:rsidP="00504C46"/>
    <w:p w14:paraId="6E8DAC6A" w14:textId="4C1C5C3D" w:rsidR="00504C46" w:rsidRPr="002B7BEB" w:rsidRDefault="00504C46" w:rsidP="00504C46"/>
    <w:p w14:paraId="770B6234" w14:textId="0AC36120" w:rsidR="00504C46" w:rsidRPr="002B7BEB" w:rsidRDefault="00504C46" w:rsidP="00504C46"/>
    <w:p w14:paraId="0471C266" w14:textId="1B3B7842" w:rsidR="00504C46" w:rsidRPr="002B7BEB" w:rsidRDefault="00504C46" w:rsidP="00504C46"/>
    <w:p w14:paraId="53812E1A" w14:textId="1DD28925" w:rsidR="00504C46" w:rsidRPr="002B7BEB" w:rsidRDefault="00504C46" w:rsidP="00504C46"/>
    <w:p w14:paraId="30E400EC" w14:textId="36042538" w:rsidR="00504C46" w:rsidRPr="002B7BEB" w:rsidRDefault="00504C46" w:rsidP="00504C46"/>
    <w:p w14:paraId="581493C2" w14:textId="28755F15" w:rsidR="00504C46" w:rsidRPr="002B7BEB" w:rsidRDefault="00504C46" w:rsidP="00504C46"/>
    <w:p w14:paraId="39CD67CB" w14:textId="1813B54F" w:rsidR="00504C46" w:rsidRPr="002B7BEB" w:rsidRDefault="00504C46" w:rsidP="00504C46"/>
    <w:p w14:paraId="471F5404" w14:textId="17E6FFC3" w:rsidR="00504C46" w:rsidRPr="002B7BEB" w:rsidRDefault="00504C46" w:rsidP="00504C46"/>
    <w:p w14:paraId="13EE9B4F" w14:textId="43C8D368" w:rsidR="00504C46" w:rsidRPr="002B7BEB" w:rsidRDefault="00504C46" w:rsidP="00504C46"/>
    <w:p w14:paraId="0A630EFB" w14:textId="154270A1" w:rsidR="00504C46" w:rsidRPr="002B7BEB" w:rsidRDefault="00504C46" w:rsidP="00504C46"/>
    <w:p w14:paraId="30E781DE" w14:textId="3C6DF006" w:rsidR="00504C46" w:rsidRPr="002B7BEB" w:rsidRDefault="00504C46" w:rsidP="00504C46"/>
    <w:p w14:paraId="609DEFDE" w14:textId="260801C0" w:rsidR="00504C46" w:rsidRPr="002B7BEB" w:rsidRDefault="00504C46" w:rsidP="00504C46"/>
    <w:p w14:paraId="1C37DE05" w14:textId="597ECE2A" w:rsidR="00504C46" w:rsidRPr="00C757C4" w:rsidRDefault="002A54F2" w:rsidP="00504C46">
      <w:pPr>
        <w:rPr>
          <w:i/>
          <w:iCs/>
          <w:sz w:val="14"/>
          <w:szCs w:val="14"/>
        </w:rPr>
      </w:pPr>
      <w:r w:rsidRPr="00C757C4">
        <w:rPr>
          <w:i/>
          <w:iCs/>
          <w:sz w:val="14"/>
          <w:szCs w:val="14"/>
        </w:rPr>
        <w:t>(+) betekent dat de maximum uurprij</w:t>
      </w:r>
      <w:r w:rsidR="00C757C4">
        <w:rPr>
          <w:i/>
          <w:iCs/>
          <w:sz w:val="14"/>
          <w:szCs w:val="14"/>
        </w:rPr>
        <w:t>s</w:t>
      </w:r>
      <w:r w:rsidRPr="00C757C4">
        <w:rPr>
          <w:i/>
          <w:iCs/>
          <w:sz w:val="14"/>
          <w:szCs w:val="14"/>
        </w:rPr>
        <w:t xml:space="preserve"> meer </w:t>
      </w:r>
      <w:r w:rsidR="00C757C4">
        <w:rPr>
          <w:i/>
          <w:iCs/>
          <w:sz w:val="14"/>
          <w:szCs w:val="14"/>
        </w:rPr>
        <w:t>is</w:t>
      </w:r>
      <w:r w:rsidRPr="00C757C4">
        <w:rPr>
          <w:i/>
          <w:iCs/>
          <w:sz w:val="14"/>
          <w:szCs w:val="14"/>
        </w:rPr>
        <w:t xml:space="preserve"> verhoogd dan wat uit de reguliere indexatie zou volgen, en (-) betekent dat de maximum uurprij</w:t>
      </w:r>
      <w:r w:rsidR="00C757C4">
        <w:rPr>
          <w:i/>
          <w:iCs/>
          <w:sz w:val="14"/>
          <w:szCs w:val="14"/>
        </w:rPr>
        <w:t>s</w:t>
      </w:r>
      <w:r w:rsidRPr="00C757C4">
        <w:rPr>
          <w:i/>
          <w:iCs/>
          <w:sz w:val="14"/>
          <w:szCs w:val="14"/>
        </w:rPr>
        <w:t xml:space="preserve"> minder </w:t>
      </w:r>
      <w:r w:rsidR="00C757C4">
        <w:rPr>
          <w:i/>
          <w:iCs/>
          <w:sz w:val="14"/>
          <w:szCs w:val="14"/>
        </w:rPr>
        <w:t>is</w:t>
      </w:r>
      <w:r w:rsidRPr="00C757C4">
        <w:rPr>
          <w:i/>
          <w:iCs/>
          <w:sz w:val="14"/>
          <w:szCs w:val="14"/>
        </w:rPr>
        <w:t xml:space="preserve"> verhoogd dan wat uit de reguliere indexatie zou volgen.</w:t>
      </w:r>
    </w:p>
    <w:p w14:paraId="5C618148" w14:textId="77777777" w:rsidR="002A54F2" w:rsidRPr="002B7BEB" w:rsidRDefault="002A54F2" w:rsidP="00504C46"/>
    <w:p w14:paraId="7E23B14E" w14:textId="77777777" w:rsidR="00A63C59" w:rsidRPr="002B7BEB" w:rsidRDefault="00A63C59" w:rsidP="00A63C59">
      <w:bookmarkStart w:id="0" w:name="_Hlk119665026"/>
      <w:bookmarkStart w:id="1" w:name="_Hlk119680902"/>
      <w:r w:rsidRPr="002B7BEB">
        <w:t>De maximum uurprijs heeft voor het overgrote deel van de afgelopen jaren de reguliere indexatie gevolgd. In enkele jaren is er afgeweken van de reguliere indexatie. Zowel door extra te verhogen, of door de maximum uurprijs minder te verhogen dan wat er uit de reguliere indexatie zou volgen. Hierna licht ik deze ontwikkelingen nader toe.</w:t>
      </w:r>
    </w:p>
    <w:p w14:paraId="63C96674" w14:textId="77777777" w:rsidR="00A63C59" w:rsidRPr="002B7BEB" w:rsidRDefault="00A63C59" w:rsidP="00A63C59"/>
    <w:p w14:paraId="3A55FB37" w14:textId="508A46C2" w:rsidR="00A63C59" w:rsidRPr="002B7BEB" w:rsidRDefault="00A63C59" w:rsidP="00A63C59">
      <w:pPr>
        <w:rPr>
          <w:i/>
          <w:iCs/>
        </w:rPr>
      </w:pPr>
      <w:r w:rsidRPr="002B7BEB">
        <w:rPr>
          <w:i/>
          <w:iCs/>
        </w:rPr>
        <w:t xml:space="preserve">Afbouw bso 2006-2008 </w:t>
      </w:r>
    </w:p>
    <w:p w14:paraId="277ACE98" w14:textId="77777777" w:rsidR="00A723D1" w:rsidRDefault="00A63C59" w:rsidP="00A63C59">
      <w:r w:rsidRPr="002B7BEB">
        <w:t xml:space="preserve">Bij de introductie van de kinderopvangtoeslag werden er twee maximum </w:t>
      </w:r>
      <w:proofErr w:type="spellStart"/>
      <w:r w:rsidRPr="002B7BEB">
        <w:t>uurprijzen</w:t>
      </w:r>
      <w:proofErr w:type="spellEnd"/>
      <w:r w:rsidRPr="002B7BEB">
        <w:t xml:space="preserve"> gehanteerd: een voor de dagopvang en gastouderopvang (vóór kinderen naar het basisonderwijs gaan), en een voor bso en gastouderopvang voor kinderen in de leeftijd dat zij naar het basisonderwijs gaan. </w:t>
      </w:r>
    </w:p>
    <w:p w14:paraId="0F934CD1" w14:textId="41565154" w:rsidR="00A63C59" w:rsidRPr="002B7BEB" w:rsidRDefault="00A63C59" w:rsidP="00A63C59">
      <w:r w:rsidRPr="002B7BEB">
        <w:lastRenderedPageBreak/>
        <w:t xml:space="preserve">Naast de reguliere indexatie is voor de bso en gastouderopvang van kinderen in de leeftijd dat zij naar het basisonderwijs gaan de maximum uurprijs geleidelijk naar beneden aangepast in drie stappen, zodat er in 2008 sprake zou zijn van één maximum uurprijs ongeacht de soort opvang. In 2008 en 2009 gold daarmee voor dagopvang, bso en gastouderopvang </w:t>
      </w:r>
      <w:r w:rsidR="00C757C4" w:rsidRPr="002B7BEB">
        <w:t>eenzelfde</w:t>
      </w:r>
      <w:r w:rsidRPr="002B7BEB">
        <w:t xml:space="preserve"> tarief van € 6,10.  </w:t>
      </w:r>
    </w:p>
    <w:p w14:paraId="169845C3" w14:textId="77777777" w:rsidR="00A63C59" w:rsidRPr="002B7BEB" w:rsidRDefault="00A63C59" w:rsidP="00A63C59"/>
    <w:p w14:paraId="20F6AD9E" w14:textId="406C5226" w:rsidR="00A63C59" w:rsidRPr="002B7BEB" w:rsidRDefault="00A63C59" w:rsidP="00A63C59">
      <w:pPr>
        <w:rPr>
          <w:i/>
          <w:iCs/>
        </w:rPr>
      </w:pPr>
      <w:r w:rsidRPr="002B7BEB">
        <w:rPr>
          <w:i/>
          <w:iCs/>
        </w:rPr>
        <w:t>Ombuigingen 2009-2010</w:t>
      </w:r>
    </w:p>
    <w:p w14:paraId="326F4903" w14:textId="64B1D0FF" w:rsidR="00A63C59" w:rsidRPr="002B7BEB" w:rsidRDefault="00A63C59" w:rsidP="00A63C59">
      <w:r w:rsidRPr="002B7BEB">
        <w:t xml:space="preserve">Het aanbod en gebruik van formele kinderopvang namen sterker toe dan verwacht. Hierdoor lagen de uitgaven ook hoger dan begroot. Voor deze tegenvaller is incidenteel dekking gevonden in de algemene middelen en daarnaast is de werkgeversbijdrage verhoogd. Om het kinderopvangstelsel structureel beheersbaar en toegankelijk te houden, werd het noodzakelijk geacht extra maatregelen te treffen waaraan alle betrokken partijen een bijdrage leverden. Omdat de rendementen in de kinderopvangsector sinds 2006 waren verbeterd en de bezettingsgraden gestegen, was er volgens het toenmalige kabinet ruimte </w:t>
      </w:r>
      <w:r w:rsidR="00C757C4" w:rsidRPr="002B7BEB">
        <w:t xml:space="preserve">in de winstmarges </w:t>
      </w:r>
      <w:r w:rsidRPr="002B7BEB">
        <w:t xml:space="preserve">om maatregelen in de maximum uurprijs te absorberen. Daarom werden de maximum </w:t>
      </w:r>
      <w:proofErr w:type="spellStart"/>
      <w:r w:rsidRPr="002B7BEB">
        <w:t>uurprijzen</w:t>
      </w:r>
      <w:proofErr w:type="spellEnd"/>
      <w:r w:rsidRPr="002B7BEB">
        <w:t xml:space="preserve"> in 2009 bevroren. In 2010 zijn de maximum </w:t>
      </w:r>
      <w:proofErr w:type="spellStart"/>
      <w:r w:rsidRPr="002B7BEB">
        <w:t>uurprijzen</w:t>
      </w:r>
      <w:proofErr w:type="spellEnd"/>
      <w:r w:rsidRPr="002B7BEB">
        <w:t xml:space="preserve"> voor gastouderopvang en bso verlaagd ten opzichte van de dagopvang met het oog op de financiële houdbaarheid van het kinderopvangstelsel. De rechtvaardiging was dat gastouderopvang goedkoper is en lagere exploitatiekosten kent, terwijl in de bso relatief hoge rendementen werden bereikt. </w:t>
      </w:r>
    </w:p>
    <w:p w14:paraId="5775EB9A" w14:textId="77777777" w:rsidR="00A63C59" w:rsidRPr="002B7BEB" w:rsidRDefault="00A63C59" w:rsidP="00A63C59"/>
    <w:p w14:paraId="7250BDEC" w14:textId="6AB90807" w:rsidR="00A63C59" w:rsidRPr="002B7BEB" w:rsidRDefault="00A63C59" w:rsidP="00A63C59">
      <w:pPr>
        <w:rPr>
          <w:i/>
          <w:iCs/>
        </w:rPr>
      </w:pPr>
      <w:r w:rsidRPr="002B7BEB">
        <w:rPr>
          <w:i/>
          <w:iCs/>
        </w:rPr>
        <w:t>Indexatie 2012 en 2017</w:t>
      </w:r>
    </w:p>
    <w:p w14:paraId="1E92EBAA" w14:textId="4520E6C4" w:rsidR="00A63C59" w:rsidRPr="002B7BEB" w:rsidRDefault="00A63C59" w:rsidP="00A63C59">
      <w:r w:rsidRPr="002B7BEB">
        <w:t xml:space="preserve">De overheidsuitgaven aan kinderopvangtoeslag waren in 2010 verdrievoudigd ten opzichte van 2005. Het toenmalige kabinet oordeelde dat de financieel-economische situatie een dergelijke groei van de uitgaven niet toe liet. De tripartiete verdeling van de financiering was uit beeld geraakt. Ouders betaalden nog 22% van de kosten (in plaats van de beoogde 33%), waardoor een correctie nodig werd geacht. De maximum </w:t>
      </w:r>
      <w:proofErr w:type="spellStart"/>
      <w:r w:rsidRPr="002B7BEB">
        <w:t>uurprijzen</w:t>
      </w:r>
      <w:proofErr w:type="spellEnd"/>
      <w:r w:rsidRPr="002B7BEB">
        <w:t xml:space="preserve"> werden bevroren op het niveau van 2011. In 2017 zijn er extra middelen voor de kinderopvang beschikbaar gesteld door het toenmalige kabinet. Deze zijn onder andere ingezet om het uitblijven van de indexatie in 2012 alsnog te realiseren in 2017 met een extra verhoging van 2,5%.  </w:t>
      </w:r>
    </w:p>
    <w:p w14:paraId="5F15432D" w14:textId="77777777" w:rsidR="00A63C59" w:rsidRPr="002B7BEB" w:rsidRDefault="00A63C59" w:rsidP="00A63C59"/>
    <w:p w14:paraId="0567A603" w14:textId="61DC64D6" w:rsidR="00A63C59" w:rsidRPr="002B7BEB" w:rsidRDefault="00A63C59" w:rsidP="00A63C59">
      <w:pPr>
        <w:rPr>
          <w:i/>
          <w:iCs/>
        </w:rPr>
      </w:pPr>
      <w:r w:rsidRPr="002B7BEB">
        <w:rPr>
          <w:i/>
          <w:iCs/>
        </w:rPr>
        <w:t>Wet innovatie kwaliteit kinderopvang 2018-2019</w:t>
      </w:r>
    </w:p>
    <w:p w14:paraId="74587EFA" w14:textId="2065E916" w:rsidR="00A63C59" w:rsidRPr="002B7BEB" w:rsidRDefault="00A63C59" w:rsidP="00A63C59">
      <w:r w:rsidRPr="002B7BEB">
        <w:t xml:space="preserve">In 2018 vond een extra verhoging van de maximum </w:t>
      </w:r>
      <w:proofErr w:type="spellStart"/>
      <w:r w:rsidRPr="002B7BEB">
        <w:t>uurprijzen</w:t>
      </w:r>
      <w:proofErr w:type="spellEnd"/>
      <w:r w:rsidRPr="002B7BEB">
        <w:t xml:space="preserve"> plaats vanwege de invoering van de Wet Innovatie en Kwaliteit Kinderopvang (IKK). De stijging van de maximum </w:t>
      </w:r>
      <w:proofErr w:type="spellStart"/>
      <w:r w:rsidRPr="002B7BEB">
        <w:t>uurprijzen</w:t>
      </w:r>
      <w:proofErr w:type="spellEnd"/>
      <w:r w:rsidRPr="002B7BEB">
        <w:t xml:space="preserve"> </w:t>
      </w:r>
      <w:r w:rsidR="003264F6" w:rsidRPr="002B7BEB">
        <w:t>boven op</w:t>
      </w:r>
      <w:r w:rsidRPr="002B7BEB">
        <w:t xml:space="preserve"> de reguliere indexatie bedroeg € 0,07 in de dagopvang en € 0,08 in de </w:t>
      </w:r>
      <w:r w:rsidR="00990753" w:rsidRPr="002B7BEB">
        <w:t>bso</w:t>
      </w:r>
      <w:r w:rsidRPr="002B7BEB">
        <w:t xml:space="preserve">. In 2019 stegen de maximum </w:t>
      </w:r>
      <w:proofErr w:type="spellStart"/>
      <w:r w:rsidRPr="002B7BEB">
        <w:t>uurprijzen</w:t>
      </w:r>
      <w:proofErr w:type="spellEnd"/>
      <w:r w:rsidRPr="002B7BEB">
        <w:t xml:space="preserve"> vanwege aanvullende kwaliteitseisen in de IKK met € 0,27 in de dagopvang en daalden ze in de bso met € 0,34 vanwege onder meer een versoepeling van de beroepskracht-</w:t>
      </w:r>
      <w:proofErr w:type="spellStart"/>
      <w:r w:rsidRPr="002B7BEB">
        <w:t>kindratio</w:t>
      </w:r>
      <w:proofErr w:type="spellEnd"/>
      <w:r w:rsidRPr="002B7BEB">
        <w:t xml:space="preserve">. De invoering van de IKK leverde daarmee in totaal een verhoging op van € 0,34 in de dagopvang en een verlaging van € 0,26 in de bso. </w:t>
      </w:r>
    </w:p>
    <w:p w14:paraId="408A8C0E" w14:textId="77777777" w:rsidR="00A63C59" w:rsidRPr="002B7BEB" w:rsidRDefault="00A63C59" w:rsidP="00A63C59"/>
    <w:p w14:paraId="020C3E60" w14:textId="4D61EB3E" w:rsidR="00A63C59" w:rsidRPr="002B7BEB" w:rsidRDefault="00A63C59" w:rsidP="00A63C59">
      <w:pPr>
        <w:rPr>
          <w:i/>
          <w:iCs/>
        </w:rPr>
      </w:pPr>
      <w:r w:rsidRPr="002B7BEB">
        <w:rPr>
          <w:i/>
          <w:iCs/>
        </w:rPr>
        <w:t>Intensivering toezicht gastouderopvang 2023</w:t>
      </w:r>
    </w:p>
    <w:p w14:paraId="2AC19E9A" w14:textId="77777777" w:rsidR="00A63C59" w:rsidRPr="002B7BEB" w:rsidRDefault="00A63C59" w:rsidP="00A63C59">
      <w:r w:rsidRPr="002B7BEB">
        <w:t xml:space="preserve">In 2023 vindt een ombuiging van € 0,15 plaats op de reguliere indexering van de maximum </w:t>
      </w:r>
      <w:proofErr w:type="spellStart"/>
      <w:r w:rsidRPr="002B7BEB">
        <w:t>uurprijzen</w:t>
      </w:r>
      <w:proofErr w:type="spellEnd"/>
      <w:r w:rsidRPr="002B7BEB">
        <w:t xml:space="preserve"> van de gastouderopvang. Het kabinet heeft besloten om een intensivering van toezicht op gastouderopvang van dekking te voorzien door de maximum </w:t>
      </w:r>
      <w:proofErr w:type="spellStart"/>
      <w:r w:rsidRPr="002B7BEB">
        <w:t>uurprijzen</w:t>
      </w:r>
      <w:proofErr w:type="spellEnd"/>
      <w:r w:rsidRPr="002B7BEB">
        <w:t xml:space="preserve"> in de gastouderopvang niet volledig te indexeren volgens de reguliere loon- en prijsbijstelling. </w:t>
      </w:r>
    </w:p>
    <w:p w14:paraId="33D3549D" w14:textId="14ABAD11" w:rsidR="00A63C59" w:rsidRDefault="00A63C59" w:rsidP="00A63C59"/>
    <w:p w14:paraId="191B2445" w14:textId="77777777" w:rsidR="00C757C4" w:rsidRPr="002B7BEB" w:rsidRDefault="00C757C4" w:rsidP="00A63C59"/>
    <w:p w14:paraId="60EE367D" w14:textId="4DBF0298" w:rsidR="00A63C59" w:rsidRPr="002B7BEB" w:rsidRDefault="00A63C59" w:rsidP="00A63C59">
      <w:pPr>
        <w:rPr>
          <w:i/>
          <w:iCs/>
        </w:rPr>
      </w:pPr>
      <w:r w:rsidRPr="002B7BEB">
        <w:rPr>
          <w:i/>
          <w:iCs/>
        </w:rPr>
        <w:lastRenderedPageBreak/>
        <w:t>Resultaat</w:t>
      </w:r>
    </w:p>
    <w:p w14:paraId="2DAD4143" w14:textId="53D363EE" w:rsidR="00A63C59" w:rsidRPr="002B7BEB" w:rsidRDefault="00A63C59" w:rsidP="00A63C59">
      <w:r w:rsidRPr="002B7BEB">
        <w:t xml:space="preserve">Als enkel de reguliere indexatie was gevolgd sinds 2006 voor de dagopvang en bso – en sinds 2011 bij de gastouderopvang – dan zou de maximum uurprijs per 2023 respectievelijk € 9,03, € 9,76 en € 6,96 bedragen. Dit is respectievelijk € 0,06, € 2,04 en € 0,23 hoger dan de maximum </w:t>
      </w:r>
      <w:proofErr w:type="spellStart"/>
      <w:r w:rsidRPr="002B7BEB">
        <w:t>uurprijzen</w:t>
      </w:r>
      <w:proofErr w:type="spellEnd"/>
      <w:r w:rsidRPr="002B7BEB">
        <w:t xml:space="preserve"> voor 2023 zijn vastgesteld. Bij het relatief grote verschil in de bso geldt de kanttekening dat bij invoering van de kinderopvangtoeslag expliciet in de wet was opgenomen dat de maximum uurprijs voor bso zou worden afgebouwd naar het niveau van de dagopvang. Als voor de berekening van de reguliere indexatie gestart wordt bij 2011, het jaar volgend op het moment dat er net zoals bij de gastouderopvang een eigen maximum uurprijs werd toegepast, dan zou de maximum uurprijs voor de bso per 2023 € 8,12 geweest zijn, een verschil van € 0,40 ten opzichte van de vastgestelde maximum uurprijs voor 2023. </w:t>
      </w:r>
      <w:r w:rsidR="00D26BD5">
        <w:t xml:space="preserve">Geconcludeerd kan worden dat het volgen van de reguliere indexatie tot een minder groot </w:t>
      </w:r>
      <w:r w:rsidR="004D2C20">
        <w:t>verschil</w:t>
      </w:r>
      <w:r w:rsidR="009A03AB">
        <w:t xml:space="preserve"> tussen het gemiddelde tarief en de maximum uurprijs</w:t>
      </w:r>
      <w:r w:rsidR="00D26BD5">
        <w:t xml:space="preserve"> zou hebben geleid</w:t>
      </w:r>
      <w:r w:rsidR="009A03AB">
        <w:t xml:space="preserve"> dan nu het geval is</w:t>
      </w:r>
      <w:r w:rsidR="00D26BD5">
        <w:t xml:space="preserve">. Met hierbij de kanttekening dat niet duidelijk is hoe de </w:t>
      </w:r>
      <w:proofErr w:type="spellStart"/>
      <w:r w:rsidR="00D26BD5">
        <w:t>uurprijzen</w:t>
      </w:r>
      <w:proofErr w:type="spellEnd"/>
      <w:r w:rsidR="00D26BD5">
        <w:t xml:space="preserve"> in de markt zich in dat geval hadden ontwikkeld.</w:t>
      </w:r>
    </w:p>
    <w:p w14:paraId="10DC5537" w14:textId="77777777" w:rsidR="00A63C59" w:rsidRPr="002B7BEB" w:rsidRDefault="00A63C59" w:rsidP="00A63C59"/>
    <w:p w14:paraId="6AAD77BC" w14:textId="535B8D20" w:rsidR="00A63C59" w:rsidRPr="002B7BEB" w:rsidRDefault="00A63C59" w:rsidP="00A63C59">
      <w:r w:rsidRPr="002B7BEB">
        <w:t>Zoals hiervoor geschetst, waren er verschillende redenen om af te wijken van de reguliere indexatie. Bijvoorbeeld de invoering van de wet IKK, het budgettair beheersbaar houden van de regeling en de intensivering van het toezicht in de gastouderopvang. Tegelijkertijd hoor ik de zorgen uit de kinderopvangsector en van ouders dat de stijging van de tarieven een punt van zorg is. Tijdens het commissiedebat is ook stilgestaan bij de druk op de kostenstijgingen en de druk op de lonen in verband met arbeidsmarkttekorten en zzp-tarieven. D</w:t>
      </w:r>
      <w:r w:rsidR="006300C0">
        <w:t>eze druk</w:t>
      </w:r>
      <w:r w:rsidRPr="002B7BEB">
        <w:t xml:space="preserve"> kan </w:t>
      </w:r>
      <w:r w:rsidR="00BA5131" w:rsidRPr="002B7BEB">
        <w:t>ertoe</w:t>
      </w:r>
      <w:r w:rsidRPr="002B7BEB">
        <w:t xml:space="preserve"> leiden dat ondernemers ervoor kiezen om hun uurtarieven te verhogen. De ondernemers moeten daarbij ook de afweging maken hoe zij hun winsten aanwenden om te investeren in kwaliteit, in het aantrekken en het behoud van medewerkers, en in een goede relatie met de ouders</w:t>
      </w:r>
      <w:r w:rsidR="009A03AB">
        <w:t xml:space="preserve"> en aandeelhouders</w:t>
      </w:r>
      <w:r w:rsidRPr="002B7BEB">
        <w:t>. Het verschilt hoe kinderopvangorganisaties hiermee omgaan en hoeveel ruimte ze hiervoor hebben. Het onderzoek waarmee ik de kinderopvangsector beter ik kaart laat brengen, waaronder de verschillende financieringsvormen en winstgevendheid, moet daar meer inzicht in geven.</w:t>
      </w:r>
    </w:p>
    <w:p w14:paraId="5F458F6D" w14:textId="77777777" w:rsidR="00A63C59" w:rsidRPr="002B7BEB" w:rsidRDefault="00A63C59" w:rsidP="00A63C59"/>
    <w:p w14:paraId="1BD763AE" w14:textId="680693AB" w:rsidR="00A63C59" w:rsidRPr="002B7BEB" w:rsidRDefault="006300C0" w:rsidP="00990753">
      <w:r>
        <w:t>Een</w:t>
      </w:r>
      <w:r w:rsidR="00A63C59" w:rsidRPr="002B7BEB">
        <w:t xml:space="preserve"> steeds groter verschil tussen maximum uurprijs en het door een kinderopvangondernemer daadwerkelijk gehanteerde tarief </w:t>
      </w:r>
      <w:r>
        <w:t xml:space="preserve">kan </w:t>
      </w:r>
      <w:r w:rsidR="00A63C59" w:rsidRPr="002B7BEB">
        <w:t xml:space="preserve">gevolgen hebben voor de toegankelijkheid van de kinderopvang. </w:t>
      </w:r>
      <w:r w:rsidR="00990753" w:rsidRPr="002B7BEB">
        <w:t xml:space="preserve">Volgens de laatste kwartaalrapportage ligt het gemiddelde tarief van € 8,83 in de dagopvang 3,8% boven de maximum uurprijs. Voor de bso bedraagt het verschil 8,4% bij een gemiddeld uurtarief van € 7,92. </w:t>
      </w:r>
      <w:r w:rsidR="00A63C59" w:rsidRPr="002B7BEB">
        <w:t>Als ik kijk naar de ontwikkeling zie ik dat dit verschil</w:t>
      </w:r>
      <w:r w:rsidR="009A03AB">
        <w:t xml:space="preserve"> tussen het gemiddelde tarief en de maximum uurprijs</w:t>
      </w:r>
      <w:r w:rsidR="00A63C59" w:rsidRPr="002B7BEB">
        <w:t xml:space="preserve"> toeneemt. In de dagopvang werd in het tweede kwartaal van 2022 71% van de uren afgenomen tegen een tarief boven de maximum uurprijs. Bij de bso was dit bijna 80% en in de gastouderopvang bijna 37%. Hoewel er reeds door het voorgaande kabinet via een verhoging van de toeslagpercentages is geïnvesteerd</w:t>
      </w:r>
      <w:r w:rsidR="00A34C5F" w:rsidRPr="002B7BEB">
        <w:rPr>
          <w:rStyle w:val="Voetnootmarkering"/>
        </w:rPr>
        <w:footnoteReference w:id="5"/>
      </w:r>
      <w:r w:rsidR="00A63C59" w:rsidRPr="002B7BEB">
        <w:t xml:space="preserve"> in de betaalbaarheid van kinderopvang weegt</w:t>
      </w:r>
      <w:r w:rsidR="00EC5FA8">
        <w:t>,</w:t>
      </w:r>
      <w:r w:rsidR="00A63C59" w:rsidRPr="002B7BEB">
        <w:t xml:space="preserve"> zeker voor lagere inkomens</w:t>
      </w:r>
      <w:r w:rsidR="00EC5FA8">
        <w:t>,</w:t>
      </w:r>
      <w:r w:rsidR="00A63C59" w:rsidRPr="002B7BEB">
        <w:t xml:space="preserve"> het deel waarover zij geen kinderopvangtoeslag ontvangen door tariefstijgingen zwaarder. Ik monitor de toegankelijkheid doorlopend. </w:t>
      </w:r>
      <w:r w:rsidR="0053101D">
        <w:t xml:space="preserve">Ook in het tweede kwartaal van 2022 zie </w:t>
      </w:r>
      <w:r w:rsidR="00A63C59" w:rsidRPr="002B7BEB">
        <w:t xml:space="preserve">ik de deelname aan kinderopvang nog steeds stijgen, dit beschouw ik als een positief signaal. </w:t>
      </w:r>
    </w:p>
    <w:p w14:paraId="5D5917FA" w14:textId="77777777" w:rsidR="006300C0" w:rsidRDefault="00A63C59" w:rsidP="00A63C59">
      <w:r w:rsidRPr="002B7BEB">
        <w:lastRenderedPageBreak/>
        <w:t xml:space="preserve">Ik vind het belangrijk om zowel te kijken naar de toegankelijkheid voor ouders, als naar zaken als kostenstijgingen en winsten in de sector. Het is niet voor niets dat de bepaling van de maximum uurprijs in principe een objectief criterium volgt van loon- en prijsstijgingen, en dat deze uurprijs niet direct de marktprijzen volgt. Dit zou tot ondoelmatige prijsstijgingen </w:t>
      </w:r>
      <w:r w:rsidR="006300C0">
        <w:t xml:space="preserve">kunnen </w:t>
      </w:r>
      <w:r w:rsidRPr="002B7BEB">
        <w:t xml:space="preserve">leiden, en daarmee tot hogere kosten voor ouders en voor de belastingbetaler. </w:t>
      </w:r>
    </w:p>
    <w:p w14:paraId="30D795F6" w14:textId="77777777" w:rsidR="006300C0" w:rsidRDefault="006300C0" w:rsidP="00A63C59"/>
    <w:p w14:paraId="56070A99" w14:textId="706CE8A8" w:rsidR="00A63C59" w:rsidRDefault="00EB0E27" w:rsidP="00A63C59">
      <w:r w:rsidRPr="00EB0E27">
        <w:t>Mijn plan is om dit voorjaar, rekening houden met bovenstaande aspecten</w:t>
      </w:r>
      <w:r w:rsidR="009A03AB">
        <w:t xml:space="preserve"> en het bredere begrotingsbeeld</w:t>
      </w:r>
      <w:r w:rsidRPr="00EB0E27">
        <w:t>, serieus te kijken naar de indexering van de uurprijs voor 2024.</w:t>
      </w:r>
    </w:p>
    <w:p w14:paraId="55893AC6" w14:textId="77777777" w:rsidR="00EB0E27" w:rsidRPr="002B7BEB" w:rsidRDefault="00EB0E27" w:rsidP="00A63C59">
      <w:pPr>
        <w:rPr>
          <w:b/>
          <w:bCs/>
        </w:rPr>
      </w:pPr>
    </w:p>
    <w:p w14:paraId="6BD69279" w14:textId="57BBF28F" w:rsidR="00E933EC" w:rsidRPr="002B7BEB" w:rsidRDefault="00E933EC" w:rsidP="00E933EC">
      <w:pPr>
        <w:rPr>
          <w:b/>
          <w:bCs/>
          <w:color w:val="auto"/>
        </w:rPr>
      </w:pPr>
      <w:r w:rsidRPr="002B7BEB">
        <w:rPr>
          <w:b/>
          <w:bCs/>
        </w:rPr>
        <w:t>Eigen bijdrage voorschool</w:t>
      </w:r>
    </w:p>
    <w:p w14:paraId="6679CA49" w14:textId="1DA73326" w:rsidR="00E933EC" w:rsidRPr="002B7BEB" w:rsidRDefault="00E933EC" w:rsidP="00E933EC">
      <w:r w:rsidRPr="002B7BEB">
        <w:t xml:space="preserve">In het commissiedebat heeft het Kamerlid Kwint (SP) vragen gesteld rondom de eigen bijdrage </w:t>
      </w:r>
      <w:r w:rsidR="00212AAF" w:rsidRPr="002B7BEB">
        <w:t xml:space="preserve">die ouders betalen voor </w:t>
      </w:r>
      <w:r w:rsidRPr="002B7BEB">
        <w:t xml:space="preserve">voorscholen en dat gemeenten </w:t>
      </w:r>
      <w:r w:rsidR="00212AAF" w:rsidRPr="002B7BEB">
        <w:t xml:space="preserve">deze eigen bijdrage van ouders </w:t>
      </w:r>
      <w:r w:rsidRPr="002B7BEB">
        <w:t xml:space="preserve">niet mogen vergoeden. </w:t>
      </w:r>
      <w:r w:rsidR="00275B2E" w:rsidRPr="002B7BEB">
        <w:t>Het lid</w:t>
      </w:r>
      <w:r w:rsidR="00212AAF" w:rsidRPr="002B7BEB">
        <w:t xml:space="preserve"> </w:t>
      </w:r>
      <w:r w:rsidRPr="002B7BEB">
        <w:t xml:space="preserve">Kwint </w:t>
      </w:r>
      <w:r w:rsidR="00637101" w:rsidRPr="002B7BEB">
        <w:t xml:space="preserve">vroeg of ik, in tegenstelling tot het vorige kabinet, </w:t>
      </w:r>
      <w:r w:rsidRPr="002B7BEB">
        <w:t xml:space="preserve">bereid ben daar iets </w:t>
      </w:r>
      <w:r w:rsidR="00212AAF" w:rsidRPr="002B7BEB">
        <w:t xml:space="preserve">aan </w:t>
      </w:r>
      <w:r w:rsidRPr="002B7BEB">
        <w:t>te doen</w:t>
      </w:r>
      <w:r w:rsidR="00637101" w:rsidRPr="002B7BEB">
        <w:t>.</w:t>
      </w:r>
      <w:r w:rsidRPr="002B7BEB">
        <w:t xml:space="preserve"> </w:t>
      </w:r>
    </w:p>
    <w:p w14:paraId="69522FF4" w14:textId="77777777" w:rsidR="00E933EC" w:rsidRPr="002B7BEB" w:rsidRDefault="00E933EC" w:rsidP="00E933EC"/>
    <w:p w14:paraId="110690E4" w14:textId="4208FDE6" w:rsidR="00E933EC" w:rsidRPr="002B7BEB" w:rsidRDefault="00E933EC" w:rsidP="00E933EC">
      <w:r w:rsidRPr="002B7BEB">
        <w:t xml:space="preserve">Er zijn voor </w:t>
      </w:r>
      <w:r w:rsidR="00637101" w:rsidRPr="002B7BEB">
        <w:t xml:space="preserve">de ouders van </w:t>
      </w:r>
      <w:r w:rsidRPr="002B7BEB">
        <w:t>peuters een aantal mogelijke financieringsstromen om een vergoeding te krijgen voor de ‘voorschool’. De voorschool wordt hierbij geïnterpreteerd als ‘voorschoolse voorziening’ inclusief kortdur</w:t>
      </w:r>
      <w:r w:rsidR="00212AAF" w:rsidRPr="002B7BEB">
        <w:t xml:space="preserve">ende </w:t>
      </w:r>
      <w:r w:rsidR="009F17BC" w:rsidRPr="002B7BEB">
        <w:t>peuteropvang</w:t>
      </w:r>
      <w:r w:rsidR="00356214" w:rsidRPr="002B7BEB">
        <w:t>,</w:t>
      </w:r>
      <w:r w:rsidR="009F17BC" w:rsidRPr="002B7BEB">
        <w:t xml:space="preserve"> peuteropvang voor hele dagen en voorschoolse educatie op basis van een indicatie. </w:t>
      </w:r>
    </w:p>
    <w:p w14:paraId="43F127DC" w14:textId="77777777" w:rsidR="00E933EC" w:rsidRPr="002B7BEB" w:rsidRDefault="00E933EC" w:rsidP="00E933EC"/>
    <w:p w14:paraId="15930322" w14:textId="77777777" w:rsidR="00E933EC" w:rsidRPr="002B7BEB" w:rsidRDefault="00E933EC" w:rsidP="00E933EC">
      <w:pPr>
        <w:rPr>
          <w:i/>
          <w:iCs/>
        </w:rPr>
      </w:pPr>
      <w:r w:rsidRPr="002B7BEB">
        <w:rPr>
          <w:i/>
          <w:iCs/>
        </w:rPr>
        <w:t>Kinderopvangtoeslag</w:t>
      </w:r>
    </w:p>
    <w:p w14:paraId="43EBEB85" w14:textId="4D916444" w:rsidR="00E933EC" w:rsidRPr="002B7BEB" w:rsidRDefault="00E933EC" w:rsidP="00E933EC">
      <w:r w:rsidRPr="002B7BEB">
        <w:t xml:space="preserve">Allereerst is er kinderopvangtoeslag voor werkende ouders. Dit geldt zowel voor </w:t>
      </w:r>
      <w:r w:rsidR="009F17BC" w:rsidRPr="002B7BEB">
        <w:t>hele dagen opvang</w:t>
      </w:r>
      <w:r w:rsidRPr="002B7BEB">
        <w:t>, bijvoorbeeld dagopvang, als kortdurende peuteropvang</w:t>
      </w:r>
      <w:r w:rsidR="009F17BC" w:rsidRPr="002B7BEB">
        <w:t xml:space="preserve"> (dagdelen)</w:t>
      </w:r>
      <w:r w:rsidRPr="002B7BEB">
        <w:t xml:space="preserve">. Hiervoor betalen werkende ouders conform de Wet Kinderopvang altijd een eigen bijdrage, afhankelijk van de hoogte van hun inkomen. De kinderopvangtoeslag kenmerkt zich </w:t>
      </w:r>
      <w:r w:rsidR="00EA32EA" w:rsidRPr="002B7BEB">
        <w:t>door de bijdrage van drie partijen</w:t>
      </w:r>
      <w:r w:rsidR="00356214" w:rsidRPr="002B7BEB">
        <w:t>,</w:t>
      </w:r>
      <w:r w:rsidR="00EA32EA" w:rsidRPr="002B7BEB">
        <w:t xml:space="preserve"> namelijk</w:t>
      </w:r>
      <w:r w:rsidRPr="002B7BEB">
        <w:t xml:space="preserve"> overheid, werkgevers en ouders</w:t>
      </w:r>
      <w:r w:rsidR="00EA32EA" w:rsidRPr="002B7BEB">
        <w:t>.</w:t>
      </w:r>
      <w:r w:rsidR="000F2AB2" w:rsidRPr="002B7BEB">
        <w:t xml:space="preserve"> </w:t>
      </w:r>
      <w:r w:rsidR="00EA32EA" w:rsidRPr="002B7BEB">
        <w:t xml:space="preserve">Zij hebben </w:t>
      </w:r>
      <w:r w:rsidRPr="002B7BEB">
        <w:t>allen baat van kinderopvang. Vandaar dat ouders een eigen bijdrage betalen. Daarbij zijn enkele uitzonderingen. Via artikel 1.13 in de Wet kinderopvang hebben gemeenten de mogelijkheid om voor bepaalde doelgroepen de eigen bijdrage tot de maximum uurprijs (deels) te vergoeden</w:t>
      </w:r>
      <w:r w:rsidR="009F17BC" w:rsidRPr="002B7BEB">
        <w:t xml:space="preserve">. </w:t>
      </w:r>
      <w:r w:rsidR="00356214" w:rsidRPr="002B7BEB">
        <w:t>Dit geldt</w:t>
      </w:r>
      <w:r w:rsidR="009F17BC" w:rsidRPr="002B7BEB">
        <w:t xml:space="preserve"> </w:t>
      </w:r>
      <w:r w:rsidRPr="002B7BEB">
        <w:t xml:space="preserve">bijvoorbeeld voor ouders </w:t>
      </w:r>
      <w:r w:rsidR="00356214" w:rsidRPr="002B7BEB">
        <w:t xml:space="preserve">die </w:t>
      </w:r>
      <w:r w:rsidRPr="002B7BEB">
        <w:t xml:space="preserve">een traject voor arbeidsinschakeling volgen of een opleiding volgen. </w:t>
      </w:r>
    </w:p>
    <w:p w14:paraId="4CB721AF" w14:textId="77777777" w:rsidR="00E933EC" w:rsidRPr="002B7BEB" w:rsidRDefault="00E933EC" w:rsidP="00E933EC"/>
    <w:p w14:paraId="289424A5" w14:textId="77777777" w:rsidR="00E933EC" w:rsidRPr="00FB1B62" w:rsidRDefault="00E933EC" w:rsidP="00E933EC">
      <w:pPr>
        <w:rPr>
          <w:i/>
          <w:iCs/>
        </w:rPr>
      </w:pPr>
      <w:r w:rsidRPr="00FB1B62">
        <w:rPr>
          <w:i/>
          <w:iCs/>
        </w:rPr>
        <w:t>Peuteraanbod</w:t>
      </w:r>
    </w:p>
    <w:p w14:paraId="564EA143" w14:textId="13844B8A" w:rsidR="00E933EC" w:rsidRPr="002B7BEB" w:rsidRDefault="00FB1B62" w:rsidP="00E933EC">
      <w:r w:rsidRPr="00FB1B62">
        <w:t>Voor peuters zonder VE-indicatie en waarvoor de ouders geen recht hebben kinderopvangtoeslag</w:t>
      </w:r>
      <w:r w:rsidRPr="002B7BEB">
        <w:t xml:space="preserve"> </w:t>
      </w:r>
      <w:r>
        <w:t xml:space="preserve">zijn er de gemeentelijke peutermiddelen </w:t>
      </w:r>
      <w:bookmarkStart w:id="2" w:name="_Hlk119659742"/>
      <w:r w:rsidR="00E933EC" w:rsidRPr="002B7BEB">
        <w:t>zijn er de gemeentelijke peutermiddele</w:t>
      </w:r>
      <w:bookmarkEnd w:id="2"/>
      <w:r w:rsidR="00E933EC" w:rsidRPr="002B7BEB">
        <w:t>n. Hiervoor ontvangen gemeenten geld vanuit het gemeentefonds via SZW. Zo kunnen gemeenten gratis of tegen een kleine eigen bijdrage een aantal dagdelen peuteropvang bieden aan ouders die geen recht hebben op</w:t>
      </w:r>
      <w:r w:rsidR="006300C0">
        <w:t xml:space="preserve"> een</w:t>
      </w:r>
      <w:r w:rsidR="00E933EC" w:rsidRPr="002B7BEB">
        <w:t xml:space="preserve"> vergoeding vanuit de kinderopvangtoeslag of voorschoolse educatie. </w:t>
      </w:r>
      <w:r w:rsidR="009F17BC" w:rsidRPr="002B7BEB">
        <w:t xml:space="preserve">Op die manier kan aan alle peuters een aanbod worden gedaan, ook aan peuters die niet voor kinderopvangtoeslag in aanmerking komen of die geen indicatie hebben voor voorschoolse educatie. </w:t>
      </w:r>
      <w:r w:rsidR="00E933EC" w:rsidRPr="002B7BEB">
        <w:t>Gemeenten hebben vrijheid in de beleidsindeling van deze middelen. Zij bepalen dus zelf of er een eigen bijdrage aan ouders wordt gevraagd en zo ja, wat de hoogte is.</w:t>
      </w:r>
    </w:p>
    <w:p w14:paraId="7A5F5952" w14:textId="77777777" w:rsidR="004555AD" w:rsidRPr="002B7BEB" w:rsidRDefault="004555AD" w:rsidP="00E933EC"/>
    <w:p w14:paraId="47BEF46B" w14:textId="77777777" w:rsidR="00E933EC" w:rsidRPr="002B7BEB" w:rsidRDefault="00E933EC" w:rsidP="002F0F56">
      <w:pPr>
        <w:rPr>
          <w:i/>
          <w:iCs/>
        </w:rPr>
      </w:pPr>
      <w:r w:rsidRPr="002B7BEB">
        <w:rPr>
          <w:i/>
          <w:iCs/>
        </w:rPr>
        <w:t>Voorschoolse educatie</w:t>
      </w:r>
    </w:p>
    <w:p w14:paraId="1C6E0BDD" w14:textId="7D434068" w:rsidR="00A723D1" w:rsidRDefault="00E933EC" w:rsidP="002F0F56">
      <w:pPr>
        <w:autoSpaceDN/>
      </w:pPr>
      <w:r w:rsidRPr="002B7BEB">
        <w:t xml:space="preserve">Daarnaast is er voor peuters </w:t>
      </w:r>
      <w:r w:rsidR="00637101" w:rsidRPr="002B7BEB">
        <w:t xml:space="preserve">die </w:t>
      </w:r>
      <w:r w:rsidR="00FB1B62">
        <w:t xml:space="preserve">een opgroeien in een kansarme omgeving </w:t>
      </w:r>
      <w:r w:rsidRPr="002B7BEB">
        <w:t>voorschoolse educatie (VE). Gemeenten ontvangen budget</w:t>
      </w:r>
      <w:r w:rsidR="00FB1B62">
        <w:t xml:space="preserve"> van OCW</w:t>
      </w:r>
      <w:r w:rsidRPr="002B7BEB">
        <w:t xml:space="preserve"> voor VE op basis van de door het CBS berekende </w:t>
      </w:r>
      <w:r w:rsidR="00FB1B62">
        <w:t>achterstands</w:t>
      </w:r>
      <w:r w:rsidRPr="002B7BEB">
        <w:t xml:space="preserve">score. Gemeenten hebben de </w:t>
      </w:r>
      <w:r w:rsidRPr="002B7BEB">
        <w:lastRenderedPageBreak/>
        <w:t xml:space="preserve">vrijheid om hun </w:t>
      </w:r>
      <w:r w:rsidR="00EA32EA" w:rsidRPr="002B7BEB">
        <w:t>VE</w:t>
      </w:r>
      <w:r w:rsidRPr="002B7BEB">
        <w:t xml:space="preserve">-beleid zelf vorm te geven. Zij kunnen er bijvoorbeeld voor kiezen om een gratis aanbod te doen. </w:t>
      </w:r>
    </w:p>
    <w:p w14:paraId="03B380DF" w14:textId="2D547736" w:rsidR="00E933EC" w:rsidRPr="002B7BEB" w:rsidRDefault="00E933EC" w:rsidP="002F0F56">
      <w:pPr>
        <w:autoSpaceDN/>
        <w:rPr>
          <w:rFonts w:ascii="Times New Roman" w:eastAsiaTheme="minorHAnsi" w:hAnsi="Times New Roman" w:cs="Times New Roman"/>
          <w:color w:val="auto"/>
          <w:sz w:val="24"/>
          <w:szCs w:val="24"/>
        </w:rPr>
      </w:pPr>
      <w:r w:rsidRPr="002B7BEB">
        <w:t xml:space="preserve">Ze kunnen er ook voor kiezen om een geringe vaste bijdrage aan ouders te vragen </w:t>
      </w:r>
      <w:r w:rsidR="00EA32EA" w:rsidRPr="002B7BEB">
        <w:t>of</w:t>
      </w:r>
      <w:r w:rsidRPr="002B7BEB">
        <w:t xml:space="preserve"> een inkomensafhankelijke bijdrage. Driekwart van de gemeenten biedt gratis dagdelen aan</w:t>
      </w:r>
      <w:r w:rsidR="00637101" w:rsidRPr="002B7BEB">
        <w:t>, in de meeste gevallen voor de helft van de dagdelen of uren.</w:t>
      </w:r>
      <w:r w:rsidR="00637101" w:rsidRPr="002B7BEB">
        <w:rPr>
          <w:rStyle w:val="Voetnootmarkering"/>
        </w:rPr>
        <w:footnoteReference w:id="6"/>
      </w:r>
      <w:r w:rsidR="00637101" w:rsidRPr="002B7BEB">
        <w:t xml:space="preserve"> </w:t>
      </w:r>
    </w:p>
    <w:p w14:paraId="18638FE1" w14:textId="77777777" w:rsidR="00E933EC" w:rsidRPr="002B7BEB" w:rsidRDefault="00E933EC" w:rsidP="00E933EC"/>
    <w:p w14:paraId="3E936C4D" w14:textId="250AAB42" w:rsidR="00E933EC" w:rsidRPr="002B7BEB" w:rsidRDefault="00B92EA8" w:rsidP="00E933EC">
      <w:r w:rsidRPr="002B7BEB">
        <w:t>Vanuit de specifieke uitkering voor het gemeentelijk onderwijsachterstandenbeleid zijn er voldoende middelen om kinderen</w:t>
      </w:r>
      <w:r w:rsidR="006D22A5">
        <w:t xml:space="preserve"> die</w:t>
      </w:r>
      <w:r w:rsidR="00FB1B62">
        <w:t xml:space="preserve"> </w:t>
      </w:r>
      <w:r w:rsidR="00FB1B62" w:rsidRPr="00FB1B62">
        <w:t>opgroeien in een kansarme omgeving</w:t>
      </w:r>
      <w:r w:rsidR="00FB1B62">
        <w:t xml:space="preserve"> </w:t>
      </w:r>
      <w:r w:rsidRPr="002B7BEB">
        <w:t xml:space="preserve">een </w:t>
      </w:r>
      <w:r w:rsidR="0010465C">
        <w:t xml:space="preserve">toegankelijk </w:t>
      </w:r>
      <w:r w:rsidRPr="002B7BEB">
        <w:t>aanbod voorschoolse educatie te doen. In de praktijk zien wij echter dat</w:t>
      </w:r>
      <w:r w:rsidR="00E933EC" w:rsidRPr="002B7BEB">
        <w:t xml:space="preserve"> gemeenten regelmatig werkende ouders </w:t>
      </w:r>
      <w:r w:rsidR="003D76F9" w:rsidRPr="002B7BEB">
        <w:t>wie</w:t>
      </w:r>
      <w:r w:rsidR="0010465C">
        <w:t>r</w:t>
      </w:r>
      <w:r w:rsidR="003D76F9" w:rsidRPr="002B7BEB">
        <w:t xml:space="preserve"> </w:t>
      </w:r>
      <w:r w:rsidR="00E933EC" w:rsidRPr="002B7BEB">
        <w:t xml:space="preserve">kind ook een VE-indicatie </w:t>
      </w:r>
      <w:r w:rsidR="003D76F9" w:rsidRPr="002B7BEB">
        <w:t>heeft</w:t>
      </w:r>
      <w:r w:rsidR="00EA32EA" w:rsidRPr="002B7BEB">
        <w:t>,</w:t>
      </w:r>
      <w:r w:rsidR="00E933EC" w:rsidRPr="002B7BEB">
        <w:t xml:space="preserve"> kinderopvangtoeslag laten aanvragen voor (een deel van) </w:t>
      </w:r>
      <w:r w:rsidR="00EA32EA" w:rsidRPr="002B7BEB">
        <w:t xml:space="preserve">hun </w:t>
      </w:r>
      <w:r w:rsidR="00E933EC" w:rsidRPr="002B7BEB">
        <w:t>VE-aanbod. Indien dat het geval is, is de Wet kinderopvang voor die VE-uren van toepassing en dienen ouders een eigen bijdrage te betale</w:t>
      </w:r>
      <w:r w:rsidR="00043A68" w:rsidRPr="002B7BEB">
        <w:t>n</w:t>
      </w:r>
      <w:r w:rsidR="0010465C">
        <w:t xml:space="preserve">, tenzij </w:t>
      </w:r>
      <w:r w:rsidR="00043A68" w:rsidRPr="002B7BEB">
        <w:t>de ouder onder één van de doelgroepen van artikel 1.13 van de Wet Kinderopvang</w:t>
      </w:r>
      <w:r w:rsidR="00356214" w:rsidRPr="002B7BEB">
        <w:t xml:space="preserve"> valt</w:t>
      </w:r>
      <w:r w:rsidR="0010465C">
        <w:t>. In dat geval</w:t>
      </w:r>
      <w:r w:rsidR="00356214" w:rsidRPr="002B7BEB">
        <w:t xml:space="preserve"> kan de eigen bijdrage (deels) door gemeenten worden vergoed</w:t>
      </w:r>
      <w:r w:rsidR="00043A68" w:rsidRPr="002B7BEB">
        <w:t>.</w:t>
      </w:r>
      <w:r w:rsidR="00043A68" w:rsidRPr="002B7BEB" w:rsidDel="00043A68">
        <w:t xml:space="preserve"> </w:t>
      </w:r>
    </w:p>
    <w:p w14:paraId="38AE9D57" w14:textId="77777777" w:rsidR="00E933EC" w:rsidRPr="002B7BEB" w:rsidRDefault="00E933EC" w:rsidP="00FD4972"/>
    <w:p w14:paraId="14347C51" w14:textId="6FFD52C1" w:rsidR="00637101" w:rsidRPr="002B7BEB" w:rsidRDefault="002E35B9" w:rsidP="00FD4972">
      <w:pPr>
        <w:autoSpaceDN/>
        <w:rPr>
          <w:rFonts w:ascii="Times New Roman" w:eastAsiaTheme="minorHAnsi" w:hAnsi="Times New Roman" w:cs="Times New Roman"/>
          <w:color w:val="auto"/>
          <w:sz w:val="24"/>
          <w:szCs w:val="24"/>
        </w:rPr>
      </w:pPr>
      <w:r w:rsidRPr="002B7BEB">
        <w:t>Gemeenten maken de keuze om werkende ouders kinderopvangtoeslag te</w:t>
      </w:r>
      <w:r w:rsidR="00356214" w:rsidRPr="002B7BEB">
        <w:t xml:space="preserve"> laten</w:t>
      </w:r>
      <w:r w:rsidRPr="002B7BEB">
        <w:t xml:space="preserve"> </w:t>
      </w:r>
      <w:r w:rsidR="00356214" w:rsidRPr="002B7BEB">
        <w:t>aan</w:t>
      </w:r>
      <w:r w:rsidRPr="002B7BEB">
        <w:t>vragen zelf. Het doel</w:t>
      </w:r>
      <w:r w:rsidR="00E933EC" w:rsidRPr="002B7BEB">
        <w:t xml:space="preserve"> </w:t>
      </w:r>
      <w:r w:rsidR="00356214" w:rsidRPr="002B7BEB">
        <w:t xml:space="preserve">van VE </w:t>
      </w:r>
      <w:r w:rsidR="00E933EC" w:rsidRPr="002B7BEB">
        <w:t xml:space="preserve">is om de meest kwetsbare groep kinderen, de groep kinderen </w:t>
      </w:r>
      <w:r w:rsidR="00FB1B62">
        <w:t>die opgroeien in een kansarme omgeving</w:t>
      </w:r>
      <w:r w:rsidR="00E933EC" w:rsidRPr="002B7BEB">
        <w:t xml:space="preserve">, een gericht gemeentelijk aanbod te doen voor </w:t>
      </w:r>
      <w:r w:rsidR="00EA32EA" w:rsidRPr="002B7BEB">
        <w:t>VE</w:t>
      </w:r>
      <w:r w:rsidRPr="002B7BEB">
        <w:t>. Dit kunnen gemeenten doen</w:t>
      </w:r>
      <w:r w:rsidR="00E933EC" w:rsidRPr="002B7BEB">
        <w:t xml:space="preserve"> zonder kinderopvangtoeslag</w:t>
      </w:r>
      <w:r w:rsidR="00FB1B62">
        <w:t>.</w:t>
      </w:r>
      <w:r w:rsidR="00E933EC" w:rsidRPr="002B7BEB">
        <w:t xml:space="preserve"> Dat betekent dat kinderen </w:t>
      </w:r>
      <w:r w:rsidR="00844F16">
        <w:t xml:space="preserve">die opgroeien in een kansarme omgeving </w:t>
      </w:r>
      <w:r w:rsidR="00E933EC" w:rsidRPr="002B7BEB">
        <w:t xml:space="preserve">een VE-aanbod van gemeenten kunnen krijgen dat gratis is of waar een geringe </w:t>
      </w:r>
      <w:r w:rsidR="00EA32EA" w:rsidRPr="002B7BEB">
        <w:t>(</w:t>
      </w:r>
      <w:r w:rsidR="00E933EC" w:rsidRPr="002B7BEB">
        <w:t>vaste</w:t>
      </w:r>
      <w:r w:rsidR="00EA32EA" w:rsidRPr="002B7BEB">
        <w:t>)</w:t>
      </w:r>
      <w:r w:rsidR="00E933EC" w:rsidRPr="002B7BEB">
        <w:t xml:space="preserve"> eigen bijdrage voor </w:t>
      </w:r>
      <w:r w:rsidR="00EA32EA" w:rsidRPr="002B7BEB">
        <w:t>gevraagd wordt</w:t>
      </w:r>
      <w:r w:rsidR="00844F16">
        <w:t>, ook als hun ouders werken.</w:t>
      </w:r>
    </w:p>
    <w:p w14:paraId="510019F7" w14:textId="77777777" w:rsidR="0010465C" w:rsidRDefault="0010465C" w:rsidP="00E933EC">
      <w:pPr>
        <w:rPr>
          <w:i/>
          <w:iCs/>
        </w:rPr>
      </w:pPr>
    </w:p>
    <w:p w14:paraId="1567AF9B" w14:textId="0621928F" w:rsidR="00EA32EA" w:rsidRPr="002B7BEB" w:rsidRDefault="00EA32EA" w:rsidP="00E933EC">
      <w:pPr>
        <w:rPr>
          <w:i/>
          <w:iCs/>
        </w:rPr>
      </w:pPr>
      <w:r w:rsidRPr="002B7BEB">
        <w:rPr>
          <w:i/>
          <w:iCs/>
        </w:rPr>
        <w:t>Tot slot</w:t>
      </w:r>
    </w:p>
    <w:p w14:paraId="6A0A83F8" w14:textId="645CAE5F" w:rsidR="00E933EC" w:rsidRPr="002B7BEB" w:rsidRDefault="00E933EC" w:rsidP="00E933EC">
      <w:bookmarkStart w:id="3" w:name="_Hlk119673131"/>
      <w:bookmarkStart w:id="4" w:name="_Hlk120112133"/>
      <w:r w:rsidRPr="002B7BEB">
        <w:t>Uit het onderzoek Evaluatie monitor voorschoolse voorzieningen uit februari 2022</w:t>
      </w:r>
      <w:r w:rsidRPr="002B7BEB">
        <w:rPr>
          <w:rStyle w:val="Voetnootmarkering"/>
        </w:rPr>
        <w:footnoteReference w:id="7"/>
      </w:r>
      <w:r w:rsidRPr="002B7BEB">
        <w:t xml:space="preserve"> blijkt dat het totale bereik van peuters</w:t>
      </w:r>
      <w:r w:rsidRPr="002B7BEB">
        <w:rPr>
          <w:rStyle w:val="Voetnootmarkering"/>
        </w:rPr>
        <w:footnoteReference w:id="8"/>
      </w:r>
      <w:r w:rsidRPr="002B7BEB">
        <w:t xml:space="preserve"> tussen 2017 en 2021 is toegenomen</w:t>
      </w:r>
      <w:bookmarkEnd w:id="3"/>
      <w:r w:rsidR="009167E6" w:rsidRPr="002B7BEB">
        <w:t xml:space="preserve"> en nu op </w:t>
      </w:r>
      <w:r w:rsidR="00356214" w:rsidRPr="002B7BEB">
        <w:t xml:space="preserve">bijna </w:t>
      </w:r>
      <w:r w:rsidR="009167E6" w:rsidRPr="002B7BEB">
        <w:t>90</w:t>
      </w:r>
      <w:r w:rsidR="00892AD1">
        <w:t>%</w:t>
      </w:r>
      <w:r w:rsidR="009167E6" w:rsidRPr="002B7BEB">
        <w:t xml:space="preserve"> ligt</w:t>
      </w:r>
      <w:r w:rsidRPr="002B7BEB">
        <w:t xml:space="preserve">. </w:t>
      </w:r>
      <w:r w:rsidR="009167E6" w:rsidRPr="002B7BEB">
        <w:t xml:space="preserve">Van </w:t>
      </w:r>
      <w:r w:rsidR="00637101" w:rsidRPr="002B7BEB">
        <w:t xml:space="preserve">de circa 10% van de </w:t>
      </w:r>
      <w:r w:rsidR="009167E6" w:rsidRPr="002B7BEB">
        <w:t xml:space="preserve">ouders die geen gebruik maken van een voorschoolse voorziening, </w:t>
      </w:r>
      <w:r w:rsidR="00637101" w:rsidRPr="002B7BEB">
        <w:t>gaf 12% aan dat dit lag aan de kosten</w:t>
      </w:r>
      <w:r w:rsidR="009167E6" w:rsidRPr="002B7BEB">
        <w:t>.</w:t>
      </w:r>
      <w:r w:rsidR="00356214" w:rsidRPr="002B7BEB">
        <w:t xml:space="preserve"> Dit is 1% van de totale populatie.</w:t>
      </w:r>
      <w:r w:rsidR="009167E6" w:rsidRPr="002B7BEB">
        <w:t xml:space="preserve"> </w:t>
      </w:r>
      <w:r w:rsidR="00356214" w:rsidRPr="002B7BEB">
        <w:t>Een van de belangrijkste redenen voor n</w:t>
      </w:r>
      <w:r w:rsidR="000331A1" w:rsidRPr="002B7BEB">
        <w:t xml:space="preserve">on-gebruik </w:t>
      </w:r>
      <w:r w:rsidR="009167E6" w:rsidRPr="002B7BEB">
        <w:t>was</w:t>
      </w:r>
      <w:r w:rsidR="00063D7B" w:rsidRPr="002B7BEB">
        <w:t xml:space="preserve"> in verband </w:t>
      </w:r>
      <w:r w:rsidR="00356214" w:rsidRPr="002B7BEB">
        <w:t>met principe of geen belangstelling</w:t>
      </w:r>
      <w:r w:rsidR="009167E6" w:rsidRPr="002B7BEB">
        <w:t xml:space="preserve">. </w:t>
      </w:r>
      <w:bookmarkEnd w:id="4"/>
      <w:r w:rsidRPr="002B7BEB">
        <w:t>Toch blijft</w:t>
      </w:r>
      <w:r w:rsidR="00356214" w:rsidRPr="002B7BEB">
        <w:t xml:space="preserve"> de opgave van </w:t>
      </w:r>
      <w:r w:rsidRPr="002B7BEB">
        <w:t>gemeenten en het Rijk om ouders op de mogelijkheden en het belang van voorschoolse voorzieningen te wijzen. Zoals in april 2022 toegezegd</w:t>
      </w:r>
      <w:r w:rsidR="00A53B1A" w:rsidRPr="002B7BEB">
        <w:rPr>
          <w:rStyle w:val="Voetnootmarkering"/>
        </w:rPr>
        <w:footnoteReference w:id="9"/>
      </w:r>
      <w:r w:rsidRPr="002B7BEB">
        <w:t xml:space="preserve"> ben ik momenteel met de VNG in gesprek over de mogelijkheden om het bereik onder peuters verder te verhogen. </w:t>
      </w:r>
      <w:bookmarkStart w:id="5" w:name="_Hlk120531033"/>
      <w:r w:rsidR="00637101" w:rsidRPr="002B7BEB">
        <w:t xml:space="preserve">Daarnaast </w:t>
      </w:r>
      <w:r w:rsidR="002F0F56">
        <w:t xml:space="preserve">zetten we met het </w:t>
      </w:r>
      <w:r w:rsidR="00637101" w:rsidRPr="002B7BEB">
        <w:t xml:space="preserve">coalitieakkoord </w:t>
      </w:r>
      <w:r w:rsidR="002F0F56">
        <w:t xml:space="preserve">in op het vergroten van deelname </w:t>
      </w:r>
      <w:r w:rsidR="00637101" w:rsidRPr="002B7BEB">
        <w:t xml:space="preserve">aan voorschoolse educatie. </w:t>
      </w:r>
      <w:bookmarkEnd w:id="5"/>
      <w:r w:rsidR="00293D12" w:rsidRPr="002B7BEB">
        <w:t>De Minister v</w:t>
      </w:r>
      <w:r w:rsidR="002F0F56">
        <w:t>oor</w:t>
      </w:r>
      <w:r w:rsidR="00293D12" w:rsidRPr="002B7BEB">
        <w:t xml:space="preserve"> Primair en Voorgezet Onderwijs </w:t>
      </w:r>
      <w:r w:rsidR="0010465C">
        <w:t xml:space="preserve">beziet momenteel </w:t>
      </w:r>
      <w:r w:rsidR="00637101" w:rsidRPr="002B7BEB">
        <w:t>hoe hier het beste uitvoering aan gegeven kan worden.</w:t>
      </w:r>
    </w:p>
    <w:p w14:paraId="6E9D78BE" w14:textId="77777777" w:rsidR="003264F6" w:rsidRDefault="003264F6" w:rsidP="00E933EC"/>
    <w:p w14:paraId="3842BDEF" w14:textId="77777777" w:rsidR="0010465C" w:rsidRDefault="0010465C">
      <w:pPr>
        <w:spacing w:line="240" w:lineRule="auto"/>
      </w:pPr>
      <w:r>
        <w:br w:type="page"/>
      </w:r>
    </w:p>
    <w:p w14:paraId="2E9408A8" w14:textId="3E4E238C" w:rsidR="00E933EC" w:rsidRPr="002B7BEB" w:rsidRDefault="00E933EC" w:rsidP="00E933EC">
      <w:r w:rsidRPr="002B7BEB">
        <w:lastRenderedPageBreak/>
        <w:t xml:space="preserve">Verder wordt </w:t>
      </w:r>
      <w:bookmarkStart w:id="6" w:name="_Hlk119673280"/>
      <w:r w:rsidRPr="002B7BEB">
        <w:t>in het kader van de herziening van het financieringsstelsel voor werkende ouders ook bekeken wat de impact is van de stelselherziening op de gemeentelijke regelingen en de gemeentelijke taken en verantwoordelijkheden</w:t>
      </w:r>
      <w:r w:rsidR="00892AD1">
        <w:t>.</w:t>
      </w:r>
      <w:r w:rsidR="00E41965" w:rsidRPr="002B7BEB">
        <w:rPr>
          <w:rStyle w:val="Voetnootmarkering"/>
        </w:rPr>
        <w:footnoteReference w:id="10"/>
      </w:r>
      <w:r w:rsidRPr="002B7BEB">
        <w:t xml:space="preserve"> </w:t>
      </w:r>
      <w:r w:rsidR="0010465C">
        <w:t xml:space="preserve">Daarbij worden </w:t>
      </w:r>
      <w:r w:rsidRPr="002B7BEB">
        <w:t>ook de mogelijkheden die gemeenten nu hebben om de eigen bijdrage van de kinderopvangtoeslag voor specifieke doelgroepen te vergoeden</w:t>
      </w:r>
      <w:r w:rsidR="0010465C">
        <w:t xml:space="preserve"> meegenomen</w:t>
      </w:r>
      <w:r w:rsidR="00B70361" w:rsidRPr="002B7BEB">
        <w:t>.</w:t>
      </w:r>
      <w:r w:rsidR="00293D12" w:rsidRPr="002B7BEB">
        <w:t xml:space="preserve"> </w:t>
      </w:r>
      <w:bookmarkEnd w:id="0"/>
      <w:bookmarkEnd w:id="6"/>
    </w:p>
    <w:bookmarkEnd w:id="1"/>
    <w:p w14:paraId="72F5939E" w14:textId="522D17D2" w:rsidR="00E933EC" w:rsidRPr="002B7BEB" w:rsidRDefault="00E933EC" w:rsidP="00BD2239"/>
    <w:p w14:paraId="26F7C435" w14:textId="0A2EF4D5" w:rsidR="00E933EC" w:rsidRPr="002B7BEB" w:rsidRDefault="00E933EC" w:rsidP="00BD2239"/>
    <w:p w14:paraId="46733F1C" w14:textId="4E48E3B2" w:rsidR="00E933EC" w:rsidRPr="002B7BEB" w:rsidRDefault="00E933EC" w:rsidP="00BD2239"/>
    <w:p w14:paraId="5D540B4A" w14:textId="77777777" w:rsidR="00E933EC" w:rsidRPr="002B7BEB" w:rsidRDefault="00E933EC" w:rsidP="00BD2239"/>
    <w:p w14:paraId="1C1AD51B" w14:textId="77777777" w:rsidR="00193C9E" w:rsidRPr="002B7BEB" w:rsidRDefault="00D26397">
      <w:r w:rsidRPr="002B7BEB">
        <w:t xml:space="preserve">De Minister van Sociale Zaken </w:t>
      </w:r>
      <w:r w:rsidRPr="002B7BEB">
        <w:br/>
        <w:t>en Werkgelegenheid,</w:t>
      </w:r>
    </w:p>
    <w:p w14:paraId="4C6E2D53" w14:textId="77777777" w:rsidR="00193C9E" w:rsidRPr="002B7BEB" w:rsidRDefault="00193C9E"/>
    <w:p w14:paraId="39CDA2B1" w14:textId="77777777" w:rsidR="00193C9E" w:rsidRPr="002B7BEB" w:rsidRDefault="00193C9E"/>
    <w:p w14:paraId="20E73C77" w14:textId="77777777" w:rsidR="00193C9E" w:rsidRPr="002B7BEB" w:rsidRDefault="00193C9E"/>
    <w:p w14:paraId="50B099C0" w14:textId="197AFC41" w:rsidR="00193C9E" w:rsidRDefault="00193C9E"/>
    <w:p w14:paraId="11CCE74D" w14:textId="77777777" w:rsidR="00A723D1" w:rsidRPr="002B7BEB" w:rsidRDefault="00A723D1"/>
    <w:p w14:paraId="22073497" w14:textId="77777777" w:rsidR="00193C9E" w:rsidRDefault="00D26397">
      <w:r w:rsidRPr="002B7BEB">
        <w:t>C.E.G. van Gennip</w:t>
      </w:r>
    </w:p>
    <w:sectPr w:rsidR="00193C9E">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ECB3" w14:textId="77777777" w:rsidR="00AF5D3A" w:rsidRDefault="00AF5D3A">
      <w:pPr>
        <w:spacing w:line="240" w:lineRule="auto"/>
      </w:pPr>
      <w:r>
        <w:separator/>
      </w:r>
    </w:p>
  </w:endnote>
  <w:endnote w:type="continuationSeparator" w:id="0">
    <w:p w14:paraId="04F1E9D1" w14:textId="77777777" w:rsidR="00AF5D3A" w:rsidRDefault="00AF5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A72A" w14:textId="77777777" w:rsidR="009A03AB" w:rsidRDefault="009A03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314F" w14:textId="77777777" w:rsidR="009A03AB" w:rsidRDefault="009A03A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BA22" w14:textId="77777777" w:rsidR="009A03AB" w:rsidRDefault="009A03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277B" w14:textId="77777777" w:rsidR="00AF5D3A" w:rsidRDefault="00AF5D3A">
      <w:pPr>
        <w:spacing w:line="240" w:lineRule="auto"/>
      </w:pPr>
      <w:r>
        <w:separator/>
      </w:r>
    </w:p>
  </w:footnote>
  <w:footnote w:type="continuationSeparator" w:id="0">
    <w:p w14:paraId="750C60AD" w14:textId="77777777" w:rsidR="00AF5D3A" w:rsidRDefault="00AF5D3A">
      <w:pPr>
        <w:spacing w:line="240" w:lineRule="auto"/>
      </w:pPr>
      <w:r>
        <w:continuationSeparator/>
      </w:r>
    </w:p>
  </w:footnote>
  <w:footnote w:id="1">
    <w:p w14:paraId="3471B7A4" w14:textId="720BA194" w:rsidR="004D2C20" w:rsidRPr="002F0F56" w:rsidRDefault="004D2C20">
      <w:pPr>
        <w:pStyle w:val="Voetnoottekst"/>
        <w:rPr>
          <w:rFonts w:ascii="Verdana" w:hAnsi="Verdana"/>
          <w:i/>
          <w:iCs/>
          <w:sz w:val="16"/>
          <w:szCs w:val="16"/>
        </w:rPr>
      </w:pPr>
      <w:r w:rsidRPr="002F0F56">
        <w:rPr>
          <w:rStyle w:val="Voetnootmarkering"/>
          <w:rFonts w:ascii="Verdana" w:hAnsi="Verdana"/>
          <w:sz w:val="16"/>
          <w:szCs w:val="16"/>
        </w:rPr>
        <w:footnoteRef/>
      </w:r>
      <w:r w:rsidRPr="002F0F56">
        <w:rPr>
          <w:rFonts w:ascii="Verdana" w:hAnsi="Verdana"/>
          <w:sz w:val="16"/>
          <w:szCs w:val="16"/>
        </w:rPr>
        <w:t xml:space="preserve"> Buitenhek</w:t>
      </w:r>
      <w:r w:rsidR="0079162A" w:rsidRPr="002F0F56">
        <w:rPr>
          <w:rFonts w:ascii="Verdana" w:hAnsi="Verdana"/>
          <w:sz w:val="16"/>
          <w:szCs w:val="16"/>
        </w:rPr>
        <w:t>, E.</w:t>
      </w:r>
      <w:r w:rsidRPr="002F0F56">
        <w:rPr>
          <w:rFonts w:ascii="Verdana" w:hAnsi="Verdana"/>
          <w:sz w:val="16"/>
          <w:szCs w:val="16"/>
        </w:rPr>
        <w:t xml:space="preserve"> (</w:t>
      </w:r>
      <w:r w:rsidR="0079162A" w:rsidRPr="002F0F56">
        <w:rPr>
          <w:rFonts w:ascii="Verdana" w:hAnsi="Verdana"/>
          <w:sz w:val="16"/>
          <w:szCs w:val="16"/>
        </w:rPr>
        <w:t xml:space="preserve">2021). De Rekenmeester (column): Jochem </w:t>
      </w:r>
      <w:proofErr w:type="spellStart"/>
      <w:r w:rsidR="0079162A" w:rsidRPr="002F0F56">
        <w:rPr>
          <w:rFonts w:ascii="Verdana" w:hAnsi="Verdana"/>
          <w:sz w:val="16"/>
          <w:szCs w:val="16"/>
        </w:rPr>
        <w:t>Myjer</w:t>
      </w:r>
      <w:proofErr w:type="spellEnd"/>
      <w:r w:rsidR="0079162A" w:rsidRPr="002F0F56">
        <w:rPr>
          <w:rFonts w:ascii="Verdana" w:hAnsi="Verdana"/>
          <w:sz w:val="16"/>
          <w:szCs w:val="16"/>
        </w:rPr>
        <w:t xml:space="preserve"> of Maarten van Rossem? </w:t>
      </w:r>
      <w:r w:rsidR="0079162A" w:rsidRPr="002F0F56">
        <w:rPr>
          <w:rFonts w:ascii="Verdana" w:hAnsi="Verdana"/>
          <w:i/>
          <w:iCs/>
          <w:sz w:val="16"/>
          <w:szCs w:val="16"/>
        </w:rPr>
        <w:t>BESTUUR BELEID MANAGEMENT EN PEDAGOGIEK IN HET KINDCENTRUM 04.2021</w:t>
      </w:r>
    </w:p>
  </w:footnote>
  <w:footnote w:id="2">
    <w:p w14:paraId="1F0B2E6C" w14:textId="36932573" w:rsidR="002A54F2" w:rsidRPr="009D6119" w:rsidRDefault="002A54F2">
      <w:pPr>
        <w:pStyle w:val="Voetnoottekst"/>
        <w:rPr>
          <w:rFonts w:ascii="Verdana" w:hAnsi="Verdana"/>
          <w:sz w:val="16"/>
          <w:szCs w:val="16"/>
        </w:rPr>
      </w:pPr>
      <w:r w:rsidRPr="009D6119">
        <w:rPr>
          <w:rStyle w:val="Voetnootmarkering"/>
          <w:rFonts w:ascii="Verdana" w:hAnsi="Verdana"/>
          <w:sz w:val="16"/>
          <w:szCs w:val="16"/>
        </w:rPr>
        <w:footnoteRef/>
      </w:r>
      <w:r w:rsidRPr="009D6119">
        <w:rPr>
          <w:rFonts w:ascii="Verdana" w:hAnsi="Verdana"/>
          <w:sz w:val="16"/>
          <w:szCs w:val="16"/>
        </w:rPr>
        <w:t xml:space="preserve"> Stb. 2022, 386.</w:t>
      </w:r>
    </w:p>
  </w:footnote>
  <w:footnote w:id="3">
    <w:p w14:paraId="20EB1DD8" w14:textId="580B1117" w:rsidR="002A54F2" w:rsidRPr="009D6119" w:rsidRDefault="002A54F2">
      <w:pPr>
        <w:pStyle w:val="Voetnoottekst"/>
        <w:rPr>
          <w:rFonts w:ascii="Verdana" w:hAnsi="Verdana"/>
          <w:sz w:val="16"/>
          <w:szCs w:val="16"/>
        </w:rPr>
      </w:pPr>
      <w:r w:rsidRPr="009D6119">
        <w:rPr>
          <w:rStyle w:val="Voetnootmarkering"/>
          <w:rFonts w:ascii="Verdana" w:hAnsi="Verdana"/>
          <w:sz w:val="16"/>
          <w:szCs w:val="16"/>
        </w:rPr>
        <w:footnoteRef/>
      </w:r>
      <w:r w:rsidRPr="009D6119">
        <w:rPr>
          <w:rFonts w:ascii="Verdana" w:hAnsi="Verdana"/>
          <w:sz w:val="16"/>
          <w:szCs w:val="16"/>
        </w:rPr>
        <w:t xml:space="preserve"> Vóór 2010 kende de gastouderopvang geen aparte maximum uurprijs. Deze was gelijk aan de maximum uurprijs van dagopvang of bso, afhankelijk van de leeftijd van het kind.</w:t>
      </w:r>
    </w:p>
  </w:footnote>
  <w:footnote w:id="4">
    <w:p w14:paraId="58347170" w14:textId="24BA5677" w:rsidR="002A54F2" w:rsidRDefault="002A54F2">
      <w:pPr>
        <w:pStyle w:val="Voetnoottekst"/>
      </w:pPr>
      <w:r w:rsidRPr="009D6119">
        <w:rPr>
          <w:rStyle w:val="Voetnootmarkering"/>
          <w:rFonts w:ascii="Verdana" w:hAnsi="Verdana"/>
          <w:sz w:val="16"/>
          <w:szCs w:val="16"/>
        </w:rPr>
        <w:footnoteRef/>
      </w:r>
      <w:r w:rsidRPr="009D6119">
        <w:rPr>
          <w:rFonts w:ascii="Verdana" w:hAnsi="Verdana"/>
          <w:sz w:val="16"/>
          <w:szCs w:val="16"/>
        </w:rPr>
        <w:t xml:space="preserve"> In jaren met reguliere indexatie kan de jaar-op-jaar ontwikkeling afwijken van de gehanteerde indexatiefactor door afronding van de maximum uurprijs op eurocenten.</w:t>
      </w:r>
    </w:p>
  </w:footnote>
  <w:footnote w:id="5">
    <w:p w14:paraId="57123A48" w14:textId="1B6DE40D" w:rsidR="00A34C5F" w:rsidRPr="003264F6" w:rsidRDefault="00A34C5F">
      <w:pPr>
        <w:pStyle w:val="Voetnoottekst"/>
        <w:rPr>
          <w:rFonts w:ascii="Verdana" w:hAnsi="Verdana"/>
          <w:sz w:val="16"/>
          <w:szCs w:val="16"/>
        </w:rPr>
      </w:pPr>
      <w:r w:rsidRPr="003264F6">
        <w:rPr>
          <w:rStyle w:val="Voetnootmarkering"/>
          <w:rFonts w:ascii="Verdana" w:hAnsi="Verdana"/>
          <w:sz w:val="16"/>
          <w:szCs w:val="16"/>
        </w:rPr>
        <w:footnoteRef/>
      </w:r>
      <w:r w:rsidRPr="003264F6">
        <w:rPr>
          <w:rFonts w:ascii="Verdana" w:hAnsi="Verdana"/>
          <w:sz w:val="16"/>
          <w:szCs w:val="16"/>
        </w:rPr>
        <w:t xml:space="preserve"> Vanaf 2019 is de kinderopvangtoeslag structureel met € 248 miljoen verhoogd, onder andere door het toeslagpercentage voor het eerste kind voor ouders met de allerlaagste toetsingsinkomens te verhogen van 94% naar 96% (Stb. 2018, 327). </w:t>
      </w:r>
    </w:p>
  </w:footnote>
  <w:footnote w:id="6">
    <w:p w14:paraId="19B3EFFB" w14:textId="77777777" w:rsidR="00637101" w:rsidRPr="00DA5B51" w:rsidRDefault="00637101" w:rsidP="00637101">
      <w:pPr>
        <w:pStyle w:val="Default"/>
        <w:rPr>
          <w:rFonts w:ascii="Verdana" w:hAnsi="Verdana"/>
          <w:color w:val="auto"/>
          <w:sz w:val="16"/>
          <w:szCs w:val="16"/>
        </w:rPr>
      </w:pPr>
      <w:r w:rsidRPr="009A5888">
        <w:rPr>
          <w:rStyle w:val="Voetnootmarkering"/>
          <w:rFonts w:ascii="Verdana" w:hAnsi="Verdana"/>
          <w:sz w:val="16"/>
          <w:szCs w:val="16"/>
        </w:rPr>
        <w:footnoteRef/>
      </w:r>
      <w:r w:rsidRPr="009A5888">
        <w:rPr>
          <w:rFonts w:ascii="Verdana" w:hAnsi="Verdana"/>
          <w:sz w:val="16"/>
          <w:szCs w:val="16"/>
        </w:rPr>
        <w:t xml:space="preserve"> </w:t>
      </w:r>
      <w:r w:rsidRPr="00DA5B51">
        <w:rPr>
          <w:rFonts w:ascii="Verdana" w:hAnsi="Verdana"/>
          <w:sz w:val="16"/>
          <w:szCs w:val="16"/>
        </w:rPr>
        <w:t xml:space="preserve">IJsbrand Jepma, Ruben van Esch, Wendy de Geus (2021). </w:t>
      </w:r>
      <w:r w:rsidRPr="00DA5B51">
        <w:rPr>
          <w:rFonts w:ascii="Verdana" w:hAnsi="Verdana"/>
          <w:i/>
          <w:iCs/>
          <w:color w:val="auto"/>
          <w:sz w:val="16"/>
          <w:szCs w:val="16"/>
        </w:rPr>
        <w:t>Monitor Implementatie en besteding gemeentelijk onderwijsachterstandenbeleid</w:t>
      </w:r>
      <w:r w:rsidRPr="00DA5B51">
        <w:rPr>
          <w:rFonts w:ascii="Verdana" w:hAnsi="Verdana"/>
          <w:i/>
          <w:iCs/>
          <w:sz w:val="16"/>
          <w:szCs w:val="16"/>
        </w:rPr>
        <w:t>. Meting 2</w:t>
      </w:r>
      <w:r w:rsidRPr="00DA5B51">
        <w:rPr>
          <w:rFonts w:ascii="Verdana" w:hAnsi="Verdana"/>
          <w:sz w:val="16"/>
          <w:szCs w:val="16"/>
        </w:rPr>
        <w:t>. Utrecht: Sardes &amp; Oberon.</w:t>
      </w:r>
    </w:p>
  </w:footnote>
  <w:footnote w:id="7">
    <w:p w14:paraId="77770BF3" w14:textId="77777777" w:rsidR="00E933EC" w:rsidRPr="00063D7B" w:rsidRDefault="00E933EC" w:rsidP="00E933EC">
      <w:pPr>
        <w:pStyle w:val="Voetnoottekst"/>
        <w:rPr>
          <w:rFonts w:ascii="Verdana" w:hAnsi="Verdana"/>
          <w:sz w:val="16"/>
          <w:szCs w:val="16"/>
        </w:rPr>
      </w:pPr>
      <w:r w:rsidRPr="00063D7B">
        <w:rPr>
          <w:rStyle w:val="Voetnootmarkering"/>
          <w:rFonts w:ascii="Verdana" w:hAnsi="Verdana"/>
          <w:sz w:val="16"/>
          <w:szCs w:val="16"/>
        </w:rPr>
        <w:footnoteRef/>
      </w:r>
      <w:r w:rsidRPr="00063D7B">
        <w:rPr>
          <w:rFonts w:ascii="Verdana" w:hAnsi="Verdana"/>
          <w:sz w:val="16"/>
          <w:szCs w:val="16"/>
        </w:rPr>
        <w:t xml:space="preserve"> Zie Kamerstukken II, 2021-22, 31 322, nr. 443 Bijlage Evaluatie monitor voorschoolse voorzieningen </w:t>
      </w:r>
    </w:p>
  </w:footnote>
  <w:footnote w:id="8">
    <w:p w14:paraId="2D125121" w14:textId="77777777" w:rsidR="00E933EC" w:rsidRPr="00DA5B51" w:rsidRDefault="00E933EC" w:rsidP="00E933EC">
      <w:pPr>
        <w:pStyle w:val="Voetnoottekst"/>
        <w:rPr>
          <w:rFonts w:ascii="Verdana" w:hAnsi="Verdana"/>
          <w:sz w:val="16"/>
          <w:szCs w:val="16"/>
        </w:rPr>
      </w:pPr>
      <w:r w:rsidRPr="00063D7B">
        <w:rPr>
          <w:rStyle w:val="Voetnootmarkering"/>
          <w:rFonts w:ascii="Verdana" w:hAnsi="Verdana"/>
          <w:sz w:val="16"/>
          <w:szCs w:val="16"/>
        </w:rPr>
        <w:footnoteRef/>
      </w:r>
      <w:r w:rsidRPr="00063D7B">
        <w:rPr>
          <w:rFonts w:ascii="Verdana" w:hAnsi="Verdana"/>
          <w:sz w:val="16"/>
          <w:szCs w:val="16"/>
        </w:rPr>
        <w:t xml:space="preserve"> Hierin vallen peuters met recht op kinderopvangtoeslag, peuters die onder doelgroep gemeenten vallen en peuters met een voorschoolse educatie- indicatie</w:t>
      </w:r>
    </w:p>
  </w:footnote>
  <w:footnote w:id="9">
    <w:p w14:paraId="17BD3DF2" w14:textId="16610C6A" w:rsidR="00A53B1A" w:rsidRDefault="00A53B1A">
      <w:pPr>
        <w:pStyle w:val="Voetnoottekst"/>
      </w:pPr>
      <w:r w:rsidRPr="00DA5B51">
        <w:rPr>
          <w:rStyle w:val="Voetnootmarkering"/>
          <w:rFonts w:ascii="Verdana" w:hAnsi="Verdana"/>
          <w:sz w:val="16"/>
          <w:szCs w:val="16"/>
        </w:rPr>
        <w:footnoteRef/>
      </w:r>
      <w:r w:rsidRPr="00DA5B51">
        <w:rPr>
          <w:rFonts w:ascii="Verdana" w:hAnsi="Verdana"/>
          <w:sz w:val="16"/>
          <w:szCs w:val="16"/>
        </w:rPr>
        <w:t xml:space="preserve"> Verzamelbrief Kinderopvang april 2022</w:t>
      </w:r>
    </w:p>
  </w:footnote>
  <w:footnote w:id="10">
    <w:p w14:paraId="20285A1D" w14:textId="513B01A5" w:rsidR="00E41965" w:rsidRPr="009A5888" w:rsidRDefault="00E41965" w:rsidP="00E41965">
      <w:pPr>
        <w:pStyle w:val="Voetnoottekst"/>
        <w:rPr>
          <w:rFonts w:ascii="Verdana" w:hAnsi="Verdana"/>
          <w:sz w:val="16"/>
          <w:szCs w:val="16"/>
        </w:rPr>
      </w:pPr>
      <w:r w:rsidRPr="00DA5B51">
        <w:rPr>
          <w:rStyle w:val="Voetnootmarkering"/>
          <w:rFonts w:ascii="Verdana" w:hAnsi="Verdana"/>
          <w:sz w:val="16"/>
          <w:szCs w:val="16"/>
        </w:rPr>
        <w:footnoteRef/>
      </w:r>
      <w:r w:rsidRPr="00DA5B51">
        <w:rPr>
          <w:rFonts w:ascii="Verdana" w:hAnsi="Verdana"/>
          <w:sz w:val="16"/>
          <w:szCs w:val="16"/>
        </w:rPr>
        <w:t xml:space="preserve"> Kamerstukken II, 2022-23, 31 322, nr</w:t>
      </w:r>
      <w:r w:rsidR="00132F2F">
        <w:rPr>
          <w:rFonts w:ascii="Verdana" w:hAnsi="Verdana"/>
          <w:sz w:val="16"/>
          <w:szCs w:val="16"/>
        </w:rPr>
        <w:t>.</w:t>
      </w:r>
      <w:r w:rsidRPr="00DA5B51">
        <w:rPr>
          <w:rFonts w:ascii="Verdana" w:hAnsi="Verdana"/>
          <w:sz w:val="16"/>
          <w:szCs w:val="16"/>
        </w:rPr>
        <w:t xml:space="preserve"> 465, Bijlage Openstaande beleidsvragen, p. 5 en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9073" w14:textId="77777777" w:rsidR="009A03AB" w:rsidRDefault="009A03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A2E8" w14:textId="77777777" w:rsidR="00193C9E" w:rsidRDefault="00D26397">
    <w:pPr>
      <w:pStyle w:val="MarginlessContainer"/>
    </w:pPr>
    <w:r>
      <w:rPr>
        <w:noProof/>
      </w:rPr>
      <mc:AlternateContent>
        <mc:Choice Requires="wps">
          <w:drawing>
            <wp:anchor distT="0" distB="0" distL="0" distR="0" simplePos="0" relativeHeight="251654144" behindDoc="0" locked="1" layoutInCell="1" allowOverlap="1" wp14:anchorId="7587D15E" wp14:editId="76780C57">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086763CC" w14:textId="77777777" w:rsidR="00193C9E" w:rsidRDefault="00D26397">
                          <w:pPr>
                            <w:pStyle w:val="Referentiegegevenskopjes"/>
                          </w:pPr>
                          <w:r>
                            <w:t>Datum</w:t>
                          </w:r>
                        </w:p>
                        <w:p w14:paraId="016C3911" w14:textId="260EBE53" w:rsidR="00193C9E" w:rsidRDefault="0081757D">
                          <w:pPr>
                            <w:pStyle w:val="Referentiegegevens"/>
                          </w:pPr>
                          <w:r>
                            <w:fldChar w:fldCharType="begin"/>
                          </w:r>
                          <w:r>
                            <w:instrText xml:space="preserve"> DOCPROPERTY  "iDatum"  \* MERGEFORMAT </w:instrText>
                          </w:r>
                          <w:r>
                            <w:fldChar w:fldCharType="separate"/>
                          </w:r>
                          <w:r w:rsidR="00A57E53">
                            <w:t>28 november 2022</w:t>
                          </w:r>
                          <w:r>
                            <w:fldChar w:fldCharType="end"/>
                          </w:r>
                        </w:p>
                        <w:p w14:paraId="2FD5FE3E" w14:textId="77777777" w:rsidR="00193C9E" w:rsidRDefault="00193C9E">
                          <w:pPr>
                            <w:pStyle w:val="WitregelW1"/>
                          </w:pPr>
                        </w:p>
                        <w:p w14:paraId="3F876BCA" w14:textId="77777777" w:rsidR="00193C9E" w:rsidRDefault="00D26397">
                          <w:pPr>
                            <w:pStyle w:val="Referentiegegevenskopjes"/>
                          </w:pPr>
                          <w:r>
                            <w:t>Onze referentie</w:t>
                          </w:r>
                        </w:p>
                        <w:p w14:paraId="493EEC80" w14:textId="38F221E1" w:rsidR="00193C9E" w:rsidRDefault="00AF5D3A">
                          <w:pPr>
                            <w:pStyle w:val="ReferentiegegevensHL"/>
                          </w:pPr>
                          <w:fldSimple w:instr=" DOCPROPERTY  &quot;iOnsKenmerk&quot;  \* MERGEFORMAT ">
                            <w:r w:rsidR="00A57E53">
                              <w:t>2022-0000247661</w:t>
                            </w:r>
                          </w:fldSimple>
                        </w:p>
                      </w:txbxContent>
                    </wps:txbx>
                    <wps:bodyPr vert="horz" wrap="square" lIns="0" tIns="0" rIns="0" bIns="0" anchor="t" anchorCtr="0"/>
                  </wps:wsp>
                </a:graphicData>
              </a:graphic>
            </wp:anchor>
          </w:drawing>
        </mc:Choice>
        <mc:Fallback>
          <w:pict>
            <v:shapetype w14:anchorId="7587D15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086763CC" w14:textId="77777777" w:rsidR="00193C9E" w:rsidRDefault="00D26397">
                    <w:pPr>
                      <w:pStyle w:val="Referentiegegevenskopjes"/>
                    </w:pPr>
                    <w:r>
                      <w:t>Datum</w:t>
                    </w:r>
                  </w:p>
                  <w:p w14:paraId="016C3911" w14:textId="260EBE53" w:rsidR="00193C9E" w:rsidRDefault="00A57E53">
                    <w:pPr>
                      <w:pStyle w:val="Referentiegegevens"/>
                    </w:pPr>
                    <w:fldSimple w:instr=" DOCPROPERTY  &quot;iDatum&quot;  \* MERGEFORMAT ">
                      <w:r>
                        <w:t>28 november 2022</w:t>
                      </w:r>
                    </w:fldSimple>
                  </w:p>
                  <w:p w14:paraId="2FD5FE3E" w14:textId="77777777" w:rsidR="00193C9E" w:rsidRDefault="00193C9E">
                    <w:pPr>
                      <w:pStyle w:val="WitregelW1"/>
                    </w:pPr>
                  </w:p>
                  <w:p w14:paraId="3F876BCA" w14:textId="77777777" w:rsidR="00193C9E" w:rsidRDefault="00D26397">
                    <w:pPr>
                      <w:pStyle w:val="Referentiegegevenskopjes"/>
                    </w:pPr>
                    <w:r>
                      <w:t>Onze referentie</w:t>
                    </w:r>
                  </w:p>
                  <w:p w14:paraId="493EEC80" w14:textId="38F221E1" w:rsidR="00193C9E" w:rsidRDefault="00AF5D3A">
                    <w:pPr>
                      <w:pStyle w:val="ReferentiegegevensHL"/>
                    </w:pPr>
                    <w:r>
                      <w:fldChar w:fldCharType="begin"/>
                    </w:r>
                    <w:r>
                      <w:instrText xml:space="preserve"> DOCPROPERTY  "iOnsKenmerk"  \* MERGEFORMAT </w:instrText>
                    </w:r>
                    <w:r>
                      <w:fldChar w:fldCharType="separate"/>
                    </w:r>
                    <w:r w:rsidR="00A57E53">
                      <w:t>2022-0000247661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767E55EC" wp14:editId="67B3235C">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4375D96C" w14:textId="4B4CDB0B" w:rsidR="00193C9E" w:rsidRDefault="00D26397">
                          <w:pPr>
                            <w:pStyle w:val="Afzendgegevens"/>
                          </w:pPr>
                          <w:r>
                            <w:t xml:space="preserve">Pagina </w:t>
                          </w:r>
                          <w:r>
                            <w:fldChar w:fldCharType="begin"/>
                          </w:r>
                          <w:r>
                            <w:instrText>PAGE</w:instrText>
                          </w:r>
                          <w:r>
                            <w:fldChar w:fldCharType="separate"/>
                          </w:r>
                          <w:r w:rsidR="00A57E53">
                            <w:rPr>
                              <w:noProof/>
                            </w:rPr>
                            <w:t>7</w:t>
                          </w:r>
                          <w:r>
                            <w:fldChar w:fldCharType="end"/>
                          </w:r>
                          <w:r>
                            <w:t xml:space="preserve"> van </w:t>
                          </w:r>
                          <w:r>
                            <w:fldChar w:fldCharType="begin"/>
                          </w:r>
                          <w:r>
                            <w:instrText>NUMPAGES</w:instrText>
                          </w:r>
                          <w:r>
                            <w:fldChar w:fldCharType="separate"/>
                          </w:r>
                          <w:r w:rsidR="00A57E53">
                            <w:rPr>
                              <w:noProof/>
                            </w:rPr>
                            <w:t>7</w:t>
                          </w:r>
                          <w:r>
                            <w:fldChar w:fldCharType="end"/>
                          </w:r>
                        </w:p>
                      </w:txbxContent>
                    </wps:txbx>
                    <wps:bodyPr vert="horz" wrap="square" lIns="0" tIns="0" rIns="0" bIns="0" anchor="t" anchorCtr="0"/>
                  </wps:wsp>
                </a:graphicData>
              </a:graphic>
            </wp:anchor>
          </w:drawing>
        </mc:Choice>
        <mc:Fallback>
          <w:pict>
            <v:shape w14:anchorId="767E55EC"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4375D96C" w14:textId="4B4CDB0B" w:rsidR="00193C9E" w:rsidRDefault="00D26397">
                    <w:pPr>
                      <w:pStyle w:val="Afzendgegevens"/>
                    </w:pPr>
                    <w:r>
                      <w:t xml:space="preserve">Pagina </w:t>
                    </w:r>
                    <w:r>
                      <w:fldChar w:fldCharType="begin"/>
                    </w:r>
                    <w:r>
                      <w:instrText>PAGE</w:instrText>
                    </w:r>
                    <w:r>
                      <w:fldChar w:fldCharType="separate"/>
                    </w:r>
                    <w:r w:rsidR="00A57E53">
                      <w:rPr>
                        <w:noProof/>
                      </w:rPr>
                      <w:t>7</w:t>
                    </w:r>
                    <w:r>
                      <w:fldChar w:fldCharType="end"/>
                    </w:r>
                    <w:r>
                      <w:t xml:space="preserve"> van </w:t>
                    </w:r>
                    <w:r>
                      <w:fldChar w:fldCharType="begin"/>
                    </w:r>
                    <w:r>
                      <w:instrText>NUMPAGES</w:instrText>
                    </w:r>
                    <w:r>
                      <w:fldChar w:fldCharType="separate"/>
                    </w:r>
                    <w:r w:rsidR="00A57E53">
                      <w:rPr>
                        <w:noProof/>
                      </w:rPr>
                      <w:t>7</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C9D2" w14:textId="77777777" w:rsidR="00193C9E" w:rsidRDefault="00D26397">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5E607E86" wp14:editId="36E2CF6B">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2B9FB92" w14:textId="77777777" w:rsidR="00193C9E" w:rsidRDefault="00D26397">
                          <w:pPr>
                            <w:pStyle w:val="MarginlessContainer"/>
                          </w:pPr>
                          <w:r>
                            <w:rPr>
                              <w:noProof/>
                            </w:rPr>
                            <w:drawing>
                              <wp:inline distT="0" distB="0" distL="0" distR="0" wp14:anchorId="0459EBF0" wp14:editId="08BD1641">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E607E86"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22B9FB92" w14:textId="77777777" w:rsidR="00193C9E" w:rsidRDefault="00D26397">
                    <w:pPr>
                      <w:pStyle w:val="MarginlessContainer"/>
                    </w:pPr>
                    <w:r>
                      <w:rPr>
                        <w:noProof/>
                      </w:rPr>
                      <w:drawing>
                        <wp:inline distT="0" distB="0" distL="0" distR="0" wp14:anchorId="0459EBF0" wp14:editId="08BD1641">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63C1590" wp14:editId="3A13F90C">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4CAB1AB7" w14:textId="77777777" w:rsidR="00193C9E" w:rsidRPr="00BD2239" w:rsidRDefault="00D26397">
                          <w:pPr>
                            <w:pStyle w:val="Afzendgegevens"/>
                            <w:rPr>
                              <w:lang w:val="de-DE"/>
                            </w:rPr>
                          </w:pPr>
                          <w:r w:rsidRPr="00BD2239">
                            <w:rPr>
                              <w:lang w:val="de-DE"/>
                            </w:rPr>
                            <w:t>Postbus 90801</w:t>
                          </w:r>
                        </w:p>
                        <w:p w14:paraId="5B2CAB48" w14:textId="77777777" w:rsidR="00193C9E" w:rsidRPr="00BD2239" w:rsidRDefault="00D26397">
                          <w:pPr>
                            <w:pStyle w:val="Afzendgegevens"/>
                            <w:rPr>
                              <w:lang w:val="de-DE"/>
                            </w:rPr>
                          </w:pPr>
                          <w:r w:rsidRPr="00BD2239">
                            <w:rPr>
                              <w:lang w:val="de-DE"/>
                            </w:rPr>
                            <w:t>2509 LV  Den Haag</w:t>
                          </w:r>
                        </w:p>
                        <w:p w14:paraId="5BB3C9F6" w14:textId="77777777" w:rsidR="00193C9E" w:rsidRPr="00BD2239" w:rsidRDefault="00D26397">
                          <w:pPr>
                            <w:pStyle w:val="Afzendgegevens"/>
                            <w:rPr>
                              <w:lang w:val="de-DE"/>
                            </w:rPr>
                          </w:pPr>
                          <w:proofErr w:type="spellStart"/>
                          <w:r w:rsidRPr="00BD2239">
                            <w:rPr>
                              <w:lang w:val="de-DE"/>
                            </w:rPr>
                            <w:t>Parnassusplein</w:t>
                          </w:r>
                          <w:proofErr w:type="spellEnd"/>
                          <w:r w:rsidRPr="00BD2239">
                            <w:rPr>
                              <w:lang w:val="de-DE"/>
                            </w:rPr>
                            <w:t xml:space="preserve"> 5</w:t>
                          </w:r>
                        </w:p>
                        <w:p w14:paraId="1B57D649" w14:textId="77777777" w:rsidR="00193C9E" w:rsidRPr="00BD2239" w:rsidRDefault="00D26397">
                          <w:pPr>
                            <w:pStyle w:val="Afzendgegevens"/>
                            <w:rPr>
                              <w:lang w:val="de-DE"/>
                            </w:rPr>
                          </w:pPr>
                          <w:r w:rsidRPr="00BD2239">
                            <w:rPr>
                              <w:lang w:val="de-DE"/>
                            </w:rPr>
                            <w:t>T   070 333 44 44</w:t>
                          </w:r>
                        </w:p>
                        <w:p w14:paraId="13C461EC" w14:textId="77777777" w:rsidR="00193C9E" w:rsidRPr="00BD2239" w:rsidRDefault="00D26397">
                          <w:pPr>
                            <w:pStyle w:val="Afzendgegevens"/>
                            <w:rPr>
                              <w:lang w:val="de-DE"/>
                            </w:rPr>
                          </w:pPr>
                          <w:r w:rsidRPr="00BD2239">
                            <w:rPr>
                              <w:lang w:val="de-DE"/>
                            </w:rPr>
                            <w:t>www.rijksoverheid.nl</w:t>
                          </w:r>
                        </w:p>
                        <w:p w14:paraId="6FED656F" w14:textId="77777777" w:rsidR="00193C9E" w:rsidRPr="00BD2239" w:rsidRDefault="00193C9E">
                          <w:pPr>
                            <w:pStyle w:val="WitregelW2"/>
                            <w:rPr>
                              <w:lang w:val="de-DE"/>
                            </w:rPr>
                          </w:pPr>
                        </w:p>
                        <w:p w14:paraId="01595734" w14:textId="77777777" w:rsidR="00193C9E" w:rsidRPr="00BD2239" w:rsidRDefault="00D26397">
                          <w:pPr>
                            <w:pStyle w:val="Referentiegegevenskopjes"/>
                            <w:rPr>
                              <w:lang w:val="de-DE"/>
                            </w:rPr>
                          </w:pPr>
                          <w:proofErr w:type="spellStart"/>
                          <w:r w:rsidRPr="00BD2239">
                            <w:rPr>
                              <w:lang w:val="de-DE"/>
                            </w:rPr>
                            <w:t>Onze</w:t>
                          </w:r>
                          <w:proofErr w:type="spellEnd"/>
                          <w:r w:rsidRPr="00BD2239">
                            <w:rPr>
                              <w:lang w:val="de-DE"/>
                            </w:rPr>
                            <w:t xml:space="preserve"> </w:t>
                          </w:r>
                          <w:proofErr w:type="spellStart"/>
                          <w:r w:rsidRPr="00BD2239">
                            <w:rPr>
                              <w:lang w:val="de-DE"/>
                            </w:rPr>
                            <w:t>referentie</w:t>
                          </w:r>
                          <w:proofErr w:type="spellEnd"/>
                        </w:p>
                        <w:p w14:paraId="5B730D60" w14:textId="34EA607B" w:rsidR="00193C9E" w:rsidRDefault="00AF5D3A">
                          <w:pPr>
                            <w:pStyle w:val="ReferentiegegevensHL"/>
                          </w:pPr>
                          <w:fldSimple w:instr=" DOCPROPERTY  &quot;iOnsKenmerk&quot;  \* MERGEFORMAT ">
                            <w:r w:rsidR="00A57E53">
                              <w:t>2022-0000247661</w:t>
                            </w:r>
                          </w:fldSimple>
                        </w:p>
                        <w:p w14:paraId="67D51183" w14:textId="77777777" w:rsidR="00193C9E" w:rsidRDefault="00193C9E">
                          <w:pPr>
                            <w:pStyle w:val="WitregelW1"/>
                          </w:pPr>
                        </w:p>
                        <w:p w14:paraId="740DBAA2" w14:textId="4F416C48" w:rsidR="00193C9E" w:rsidRDefault="00D26397">
                          <w:pPr>
                            <w:pStyle w:val="Referentiegegevens"/>
                          </w:pPr>
                          <w:r>
                            <w:fldChar w:fldCharType="begin"/>
                          </w:r>
                          <w:r>
                            <w:instrText xml:space="preserve"> DOCPROPERTY  "iUwBrief"  \* MERGEFORMAT </w:instrText>
                          </w:r>
                          <w:r>
                            <w:fldChar w:fldCharType="end"/>
                          </w:r>
                        </w:p>
                        <w:p w14:paraId="4DBDD635" w14:textId="77777777" w:rsidR="00193C9E" w:rsidRDefault="00193C9E">
                          <w:pPr>
                            <w:pStyle w:val="WitregelW1"/>
                          </w:pPr>
                        </w:p>
                        <w:p w14:paraId="06CF84C0" w14:textId="11A1B977" w:rsidR="00193C9E" w:rsidRDefault="00D26397">
                          <w:pPr>
                            <w:pStyle w:val="Referentiegegevens"/>
                          </w:pPr>
                          <w:r>
                            <w:fldChar w:fldCharType="begin"/>
                          </w:r>
                          <w:r>
                            <w:instrText xml:space="preserve"> DOCPROPERTY  "iCC"  \* MERGEFORMAT </w:instrText>
                          </w:r>
                          <w:r>
                            <w:fldChar w:fldCharType="end"/>
                          </w:r>
                        </w:p>
                        <w:p w14:paraId="622476E4" w14:textId="77777777" w:rsidR="00193C9E" w:rsidRDefault="00193C9E">
                          <w:pPr>
                            <w:pStyle w:val="WitregelW1"/>
                          </w:pPr>
                        </w:p>
                        <w:p w14:paraId="2BF1EB10" w14:textId="42F00F90" w:rsidR="00193C9E" w:rsidRDefault="00D26397">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363C1590"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4CAB1AB7" w14:textId="77777777" w:rsidR="00193C9E" w:rsidRPr="00BD2239" w:rsidRDefault="00D26397">
                    <w:pPr>
                      <w:pStyle w:val="Afzendgegevens"/>
                      <w:rPr>
                        <w:lang w:val="de-DE"/>
                      </w:rPr>
                    </w:pPr>
                    <w:r w:rsidRPr="00BD2239">
                      <w:rPr>
                        <w:lang w:val="de-DE"/>
                      </w:rPr>
                      <w:t>Postbus 90801</w:t>
                    </w:r>
                  </w:p>
                  <w:p w14:paraId="5B2CAB48" w14:textId="77777777" w:rsidR="00193C9E" w:rsidRPr="00BD2239" w:rsidRDefault="00D26397">
                    <w:pPr>
                      <w:pStyle w:val="Afzendgegevens"/>
                      <w:rPr>
                        <w:lang w:val="de-DE"/>
                      </w:rPr>
                    </w:pPr>
                    <w:r w:rsidRPr="00BD2239">
                      <w:rPr>
                        <w:lang w:val="de-DE"/>
                      </w:rPr>
                      <w:t>2509 LV  Den Haag</w:t>
                    </w:r>
                  </w:p>
                  <w:p w14:paraId="5BB3C9F6" w14:textId="77777777" w:rsidR="00193C9E" w:rsidRPr="00BD2239" w:rsidRDefault="00D26397">
                    <w:pPr>
                      <w:pStyle w:val="Afzendgegevens"/>
                      <w:rPr>
                        <w:lang w:val="de-DE"/>
                      </w:rPr>
                    </w:pPr>
                    <w:proofErr w:type="spellStart"/>
                    <w:r w:rsidRPr="00BD2239">
                      <w:rPr>
                        <w:lang w:val="de-DE"/>
                      </w:rPr>
                      <w:t>Parnassusplein</w:t>
                    </w:r>
                    <w:proofErr w:type="spellEnd"/>
                    <w:r w:rsidRPr="00BD2239">
                      <w:rPr>
                        <w:lang w:val="de-DE"/>
                      </w:rPr>
                      <w:t xml:space="preserve"> 5</w:t>
                    </w:r>
                  </w:p>
                  <w:p w14:paraId="1B57D649" w14:textId="77777777" w:rsidR="00193C9E" w:rsidRPr="00BD2239" w:rsidRDefault="00D26397">
                    <w:pPr>
                      <w:pStyle w:val="Afzendgegevens"/>
                      <w:rPr>
                        <w:lang w:val="de-DE"/>
                      </w:rPr>
                    </w:pPr>
                    <w:r w:rsidRPr="00BD2239">
                      <w:rPr>
                        <w:lang w:val="de-DE"/>
                      </w:rPr>
                      <w:t>T   070 333 44 44</w:t>
                    </w:r>
                  </w:p>
                  <w:p w14:paraId="13C461EC" w14:textId="77777777" w:rsidR="00193C9E" w:rsidRPr="00BD2239" w:rsidRDefault="00D26397">
                    <w:pPr>
                      <w:pStyle w:val="Afzendgegevens"/>
                      <w:rPr>
                        <w:lang w:val="de-DE"/>
                      </w:rPr>
                    </w:pPr>
                    <w:r w:rsidRPr="00BD2239">
                      <w:rPr>
                        <w:lang w:val="de-DE"/>
                      </w:rPr>
                      <w:t>www.rijksoverheid.nl</w:t>
                    </w:r>
                  </w:p>
                  <w:p w14:paraId="6FED656F" w14:textId="77777777" w:rsidR="00193C9E" w:rsidRPr="00BD2239" w:rsidRDefault="00193C9E">
                    <w:pPr>
                      <w:pStyle w:val="WitregelW2"/>
                      <w:rPr>
                        <w:lang w:val="de-DE"/>
                      </w:rPr>
                    </w:pPr>
                  </w:p>
                  <w:p w14:paraId="01595734" w14:textId="77777777" w:rsidR="00193C9E" w:rsidRPr="00BD2239" w:rsidRDefault="00D26397">
                    <w:pPr>
                      <w:pStyle w:val="Referentiegegevenskopjes"/>
                      <w:rPr>
                        <w:lang w:val="de-DE"/>
                      </w:rPr>
                    </w:pPr>
                    <w:proofErr w:type="spellStart"/>
                    <w:r w:rsidRPr="00BD2239">
                      <w:rPr>
                        <w:lang w:val="de-DE"/>
                      </w:rPr>
                      <w:t>Onze</w:t>
                    </w:r>
                    <w:proofErr w:type="spellEnd"/>
                    <w:r w:rsidRPr="00BD2239">
                      <w:rPr>
                        <w:lang w:val="de-DE"/>
                      </w:rPr>
                      <w:t xml:space="preserve"> </w:t>
                    </w:r>
                    <w:proofErr w:type="spellStart"/>
                    <w:r w:rsidRPr="00BD2239">
                      <w:rPr>
                        <w:lang w:val="de-DE"/>
                      </w:rPr>
                      <w:t>referentie</w:t>
                    </w:r>
                    <w:proofErr w:type="spellEnd"/>
                  </w:p>
                  <w:p w14:paraId="5B730D60" w14:textId="34EA607B" w:rsidR="00193C9E" w:rsidRDefault="00AF5D3A">
                    <w:pPr>
                      <w:pStyle w:val="ReferentiegegevensHL"/>
                    </w:pPr>
                    <w:r>
                      <w:fldChar w:fldCharType="begin"/>
                    </w:r>
                    <w:r>
                      <w:instrText xml:space="preserve"> DOCPROPERTY  "iOnsKenmerk"  \* MERGEFORMAT </w:instrText>
                    </w:r>
                    <w:r>
                      <w:fldChar w:fldCharType="separate"/>
                    </w:r>
                    <w:r w:rsidR="00A57E53">
                      <w:t>2022-0000247661</w:t>
                    </w:r>
                    <w:r>
                      <w:fldChar w:fldCharType="end"/>
                    </w:r>
                  </w:p>
                  <w:p w14:paraId="67D51183" w14:textId="77777777" w:rsidR="00193C9E" w:rsidRDefault="00193C9E">
                    <w:pPr>
                      <w:pStyle w:val="WitregelW1"/>
                    </w:pPr>
                  </w:p>
                  <w:p w14:paraId="740DBAA2" w14:textId="4F416C48" w:rsidR="00193C9E" w:rsidRDefault="00D26397">
                    <w:pPr>
                      <w:pStyle w:val="Referentiegegevens"/>
                    </w:pPr>
                    <w:r>
                      <w:fldChar w:fldCharType="begin"/>
                    </w:r>
                    <w:r>
                      <w:instrText xml:space="preserve"> DOCPROPERTY  "iUwBrief"  \* MERGEFORMAT </w:instrText>
                    </w:r>
                    <w:r>
                      <w:fldChar w:fldCharType="end"/>
                    </w:r>
                  </w:p>
                  <w:p w14:paraId="4DBDD635" w14:textId="77777777" w:rsidR="00193C9E" w:rsidRDefault="00193C9E">
                    <w:pPr>
                      <w:pStyle w:val="WitregelW1"/>
                    </w:pPr>
                  </w:p>
                  <w:p w14:paraId="06CF84C0" w14:textId="11A1B977" w:rsidR="00193C9E" w:rsidRDefault="00D26397">
                    <w:pPr>
                      <w:pStyle w:val="Referentiegegevens"/>
                    </w:pPr>
                    <w:r>
                      <w:fldChar w:fldCharType="begin"/>
                    </w:r>
                    <w:r>
                      <w:instrText xml:space="preserve"> DOCPROPERTY  "iCC"  \* MERGEFORMAT </w:instrText>
                    </w:r>
                    <w:r>
                      <w:fldChar w:fldCharType="end"/>
                    </w:r>
                  </w:p>
                  <w:p w14:paraId="622476E4" w14:textId="77777777" w:rsidR="00193C9E" w:rsidRDefault="00193C9E">
                    <w:pPr>
                      <w:pStyle w:val="WitregelW1"/>
                    </w:pPr>
                  </w:p>
                  <w:p w14:paraId="2BF1EB10" w14:textId="42F00F90" w:rsidR="00193C9E" w:rsidRDefault="00D26397">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B4622FE" wp14:editId="3CB937C0">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1E7B17E4" w14:textId="77777777" w:rsidR="00193C9E" w:rsidRDefault="00D26397">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2B4622F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1E7B17E4" w14:textId="77777777" w:rsidR="00193C9E" w:rsidRDefault="00D26397">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89C938C" wp14:editId="19D530B0">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2D4D91FA" w14:textId="77777777" w:rsidR="00A57E53" w:rsidRDefault="00D26397">
                          <w:r>
                            <w:fldChar w:fldCharType="begin"/>
                          </w:r>
                          <w:r>
                            <w:instrText xml:space="preserve"> DOCPROPERTY  "iAdressering"  \* MERGEFORMAT </w:instrText>
                          </w:r>
                          <w:r>
                            <w:fldChar w:fldCharType="separate"/>
                          </w:r>
                          <w:r w:rsidR="00A57E53">
                            <w:t xml:space="preserve">De voorzitter van de Tweede Kamer </w:t>
                          </w:r>
                        </w:p>
                        <w:p w14:paraId="44FE10BA" w14:textId="75DCF51F" w:rsidR="00193C9E" w:rsidRDefault="00A57E53">
                          <w:r>
                            <w:t>der Staten-Generaal</w:t>
                          </w:r>
                          <w:r w:rsidR="00D26397">
                            <w:fldChar w:fldCharType="end"/>
                          </w:r>
                        </w:p>
                        <w:p w14:paraId="61D47C85" w14:textId="582A7428" w:rsidR="00193C9E" w:rsidRDefault="00AF5D3A">
                          <w:fldSimple w:instr=" DOCPROPERTY  &quot;iStraat&quot;  \* MERGEFORMAT ">
                            <w:r w:rsidR="00A57E53">
                              <w:t>Prinses Irenestraat</w:t>
                            </w:r>
                          </w:fldSimple>
                          <w:r w:rsidR="00D26397">
                            <w:t xml:space="preserve"> </w:t>
                          </w:r>
                          <w:fldSimple w:instr=" DOCPROPERTY  &quot;iNr&quot;  \* MERGEFORMAT ">
                            <w:r w:rsidR="00A57E53">
                              <w:t>6</w:t>
                            </w:r>
                          </w:fldSimple>
                          <w:r w:rsidR="00D26397">
                            <w:fldChar w:fldCharType="begin"/>
                          </w:r>
                          <w:r w:rsidR="00D26397">
                            <w:instrText xml:space="preserve"> DOCPROPERTY  "iToev"  \* MERGEFORMAT </w:instrText>
                          </w:r>
                          <w:r w:rsidR="00D26397">
                            <w:fldChar w:fldCharType="end"/>
                          </w:r>
                        </w:p>
                        <w:p w14:paraId="2FB9E910" w14:textId="24D12C0A" w:rsidR="00193C9E" w:rsidRDefault="00AF5D3A">
                          <w:fldSimple w:instr=" DOCPROPERTY  &quot;iPostcode&quot;  \* MERGEFORMAT ">
                            <w:r w:rsidR="00A57E53">
                              <w:t>2595 BD</w:t>
                            </w:r>
                          </w:fldSimple>
                          <w:r w:rsidR="00D26397">
                            <w:t xml:space="preserve"> </w:t>
                          </w:r>
                          <w:fldSimple w:instr=" DOCPROPERTY  &quot;iPlaats&quot;  \* MERGEFORMAT ">
                            <w:r w:rsidR="00A57E53">
                              <w:t>Den Haag</w:t>
                            </w:r>
                          </w:fldSimple>
                        </w:p>
                        <w:p w14:paraId="0A2ED020" w14:textId="368E3F4F" w:rsidR="00193C9E" w:rsidRDefault="00AF5D3A">
                          <w:pPr>
                            <w:pStyle w:val="KixCode"/>
                          </w:pPr>
                          <w:fldSimple w:instr=" DOCPROPERTY  &quot;iKixcode&quot;  \* MERGEFORMAT ">
                            <w:r w:rsidR="00A57E53">
                              <w:t>2595 BD6</w:t>
                            </w:r>
                          </w:fldSimple>
                        </w:p>
                      </w:txbxContent>
                    </wps:txbx>
                    <wps:bodyPr vert="horz" wrap="square" lIns="0" tIns="0" rIns="0" bIns="0" anchor="t" anchorCtr="0"/>
                  </wps:wsp>
                </a:graphicData>
              </a:graphic>
            </wp:anchor>
          </w:drawing>
        </mc:Choice>
        <mc:Fallback>
          <w:pict>
            <v:shape w14:anchorId="289C938C"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2D4D91FA" w14:textId="77777777" w:rsidR="00A57E53" w:rsidRDefault="00D26397">
                    <w:r>
                      <w:fldChar w:fldCharType="begin"/>
                    </w:r>
                    <w:r>
                      <w:instrText xml:space="preserve"> DOCPROPERTY  "iAdressering"  \* MERGEFORMAT </w:instrText>
                    </w:r>
                    <w:r>
                      <w:fldChar w:fldCharType="separate"/>
                    </w:r>
                    <w:r w:rsidR="00A57E53">
                      <w:t xml:space="preserve">De voorzitter van de Tweede Kamer </w:t>
                    </w:r>
                  </w:p>
                  <w:p w14:paraId="44FE10BA" w14:textId="75DCF51F" w:rsidR="00193C9E" w:rsidRDefault="00A57E53">
                    <w:r>
                      <w:t>der Staten-Generaal</w:t>
                    </w:r>
                    <w:r w:rsidR="00D26397">
                      <w:fldChar w:fldCharType="end"/>
                    </w:r>
                  </w:p>
                  <w:p w14:paraId="61D47C85" w14:textId="582A7428" w:rsidR="00193C9E" w:rsidRDefault="00AF5D3A">
                    <w:r>
                      <w:fldChar w:fldCharType="begin"/>
                    </w:r>
                    <w:r>
                      <w:instrText xml:space="preserve"> DOCPROPERTY  "iStraat"  \* MERGEFORMAT </w:instrText>
                    </w:r>
                    <w:r>
                      <w:fldChar w:fldCharType="separate"/>
                    </w:r>
                    <w:r w:rsidR="00A57E53">
                      <w:t>Prinses Irenestraat</w:t>
                    </w:r>
                    <w:r>
                      <w:fldChar w:fldCharType="end"/>
                    </w:r>
                    <w:r w:rsidR="00D26397">
                      <w:t xml:space="preserve"> </w:t>
                    </w:r>
                    <w:r>
                      <w:fldChar w:fldCharType="begin"/>
                    </w:r>
                    <w:r>
                      <w:instrText xml:space="preserve"> DOCPROPERTY  "iNr"  \* MERGEFORMAT </w:instrText>
                    </w:r>
                    <w:r>
                      <w:fldChar w:fldCharType="separate"/>
                    </w:r>
                    <w:r w:rsidR="00A57E53">
                      <w:t>6</w:t>
                    </w:r>
                    <w:r>
                      <w:fldChar w:fldCharType="end"/>
                    </w:r>
                    <w:r w:rsidR="00D26397">
                      <w:fldChar w:fldCharType="begin"/>
                    </w:r>
                    <w:r w:rsidR="00D26397">
                      <w:instrText xml:space="preserve"> DOCPROPERTY  "iToev"  \* MERGEFORMAT </w:instrText>
                    </w:r>
                    <w:r w:rsidR="00D26397">
                      <w:fldChar w:fldCharType="end"/>
                    </w:r>
                  </w:p>
                  <w:p w14:paraId="2FB9E910" w14:textId="24D12C0A" w:rsidR="00193C9E" w:rsidRDefault="00AF5D3A">
                    <w:r>
                      <w:fldChar w:fldCharType="begin"/>
                    </w:r>
                    <w:r>
                      <w:instrText xml:space="preserve"> DOCPROPERTY  "iPostcode"  \* MERGEFORMAT </w:instrText>
                    </w:r>
                    <w:r>
                      <w:fldChar w:fldCharType="separate"/>
                    </w:r>
                    <w:r w:rsidR="00A57E53">
                      <w:t>2595 BD</w:t>
                    </w:r>
                    <w:r>
                      <w:fldChar w:fldCharType="end"/>
                    </w:r>
                    <w:r w:rsidR="00D26397">
                      <w:t xml:space="preserve"> </w:t>
                    </w:r>
                    <w:r>
                      <w:fldChar w:fldCharType="begin"/>
                    </w:r>
                    <w:r>
                      <w:instrText xml:space="preserve"> DOCPROPERTY  "iPlaats"  \* MERGEFORMAT </w:instrText>
                    </w:r>
                    <w:r>
                      <w:fldChar w:fldCharType="separate"/>
                    </w:r>
                    <w:r w:rsidR="00A57E53">
                      <w:t>Den Haag</w:t>
                    </w:r>
                    <w:r>
                      <w:fldChar w:fldCharType="end"/>
                    </w:r>
                  </w:p>
                  <w:p w14:paraId="0A2ED020" w14:textId="368E3F4F" w:rsidR="00193C9E" w:rsidRDefault="00AF5D3A">
                    <w:pPr>
                      <w:pStyle w:val="KixCode"/>
                    </w:pPr>
                    <w:r>
                      <w:fldChar w:fldCharType="begin"/>
                    </w:r>
                    <w:r>
                      <w:instrText xml:space="preserve"> DOCPROPERTY  "iKixcode"  \* MERGEFORMAT </w:instrText>
                    </w:r>
                    <w:r>
                      <w:fldChar w:fldCharType="separate"/>
                    </w:r>
                    <w:r w:rsidR="00A57E53">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2B986B6" wp14:editId="4271C57D">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193C9E" w14:paraId="46D5A8EF" w14:textId="77777777">
                            <w:trPr>
                              <w:trHeight w:val="200"/>
                            </w:trPr>
                            <w:tc>
                              <w:tcPr>
                                <w:tcW w:w="1134" w:type="dxa"/>
                              </w:tcPr>
                              <w:p w14:paraId="47B108F4" w14:textId="77777777" w:rsidR="00193C9E" w:rsidRDefault="00193C9E"/>
                            </w:tc>
                            <w:tc>
                              <w:tcPr>
                                <w:tcW w:w="5244" w:type="dxa"/>
                              </w:tcPr>
                              <w:p w14:paraId="6DB1534D" w14:textId="77777777" w:rsidR="00193C9E" w:rsidRDefault="00193C9E"/>
                            </w:tc>
                          </w:tr>
                          <w:tr w:rsidR="00193C9E" w14:paraId="5257CD11" w14:textId="77777777">
                            <w:trPr>
                              <w:trHeight w:val="240"/>
                            </w:trPr>
                            <w:tc>
                              <w:tcPr>
                                <w:tcW w:w="1134" w:type="dxa"/>
                              </w:tcPr>
                              <w:p w14:paraId="0DBEAB53" w14:textId="77777777" w:rsidR="00193C9E" w:rsidRDefault="00D26397">
                                <w:r>
                                  <w:t>Datum</w:t>
                                </w:r>
                              </w:p>
                            </w:tc>
                            <w:tc>
                              <w:tcPr>
                                <w:tcW w:w="5244" w:type="dxa"/>
                              </w:tcPr>
                              <w:p w14:paraId="66BF421A" w14:textId="3B62E62B" w:rsidR="00193C9E" w:rsidRDefault="0081757D">
                                <w:r>
                                  <w:fldChar w:fldCharType="begin"/>
                                </w:r>
                                <w:r>
                                  <w:instrText xml:space="preserve"> DOCPROPERTY  "iDatum"  \* MERGEFORMAT </w:instrText>
                                </w:r>
                                <w:r>
                                  <w:fldChar w:fldCharType="separate"/>
                                </w:r>
                                <w:r w:rsidR="00A57E53">
                                  <w:t>28 november 2022</w:t>
                                </w:r>
                                <w:r>
                                  <w:fldChar w:fldCharType="end"/>
                                </w:r>
                              </w:p>
                            </w:tc>
                          </w:tr>
                          <w:tr w:rsidR="00193C9E" w14:paraId="0482978F" w14:textId="77777777">
                            <w:trPr>
                              <w:trHeight w:val="240"/>
                            </w:trPr>
                            <w:tc>
                              <w:tcPr>
                                <w:tcW w:w="1134" w:type="dxa"/>
                              </w:tcPr>
                              <w:p w14:paraId="0D62D50E" w14:textId="77777777" w:rsidR="00193C9E" w:rsidRDefault="00D26397">
                                <w:r>
                                  <w:t>Betreft</w:t>
                                </w:r>
                              </w:p>
                            </w:tc>
                            <w:tc>
                              <w:tcPr>
                                <w:tcW w:w="5244" w:type="dxa"/>
                              </w:tcPr>
                              <w:p w14:paraId="23941F54" w14:textId="091F7EED" w:rsidR="00193C9E" w:rsidRDefault="00AF5D3A">
                                <w:fldSimple w:instr=" DOCPROPERTY  &quot;iOnderwerp&quot;  \* MERGEFORMAT ">
                                  <w:r w:rsidR="00A57E53">
                                    <w:t>Brief toezegging uurtarieven en voorschoolse voorzieningen</w:t>
                                  </w:r>
                                </w:fldSimple>
                              </w:p>
                            </w:tc>
                          </w:tr>
                          <w:tr w:rsidR="00193C9E" w14:paraId="59429926" w14:textId="77777777">
                            <w:trPr>
                              <w:trHeight w:val="200"/>
                            </w:trPr>
                            <w:tc>
                              <w:tcPr>
                                <w:tcW w:w="1134" w:type="dxa"/>
                              </w:tcPr>
                              <w:p w14:paraId="20FD0BB6" w14:textId="77777777" w:rsidR="00193C9E" w:rsidRDefault="00193C9E"/>
                            </w:tc>
                            <w:tc>
                              <w:tcPr>
                                <w:tcW w:w="5244" w:type="dxa"/>
                              </w:tcPr>
                              <w:p w14:paraId="26B718E4" w14:textId="77777777" w:rsidR="00193C9E" w:rsidRDefault="00193C9E"/>
                            </w:tc>
                          </w:tr>
                        </w:tbl>
                        <w:p w14:paraId="6AFA3B17" w14:textId="77777777" w:rsidR="00866028" w:rsidRDefault="00866028"/>
                      </w:txbxContent>
                    </wps:txbx>
                    <wps:bodyPr vert="horz" wrap="square" lIns="0" tIns="0" rIns="0" bIns="0" anchor="t" anchorCtr="0"/>
                  </wps:wsp>
                </a:graphicData>
              </a:graphic>
            </wp:anchor>
          </w:drawing>
        </mc:Choice>
        <mc:Fallback>
          <w:pict>
            <v:shapetype w14:anchorId="22B986B6" id="_x0000_t202" coordsize="21600,21600" o:spt="202" path="m,l,21600r21600,l21600,xe">
              <v:stroke joinstyle="miter"/>
              <v:path gradientshapeok="t" o:connecttype="rect"/>
            </v:shapetype>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193C9E" w14:paraId="46D5A8EF" w14:textId="77777777">
                      <w:trPr>
                        <w:trHeight w:val="200"/>
                      </w:trPr>
                      <w:tc>
                        <w:tcPr>
                          <w:tcW w:w="1134" w:type="dxa"/>
                        </w:tcPr>
                        <w:p w14:paraId="47B108F4" w14:textId="77777777" w:rsidR="00193C9E" w:rsidRDefault="00193C9E"/>
                      </w:tc>
                      <w:tc>
                        <w:tcPr>
                          <w:tcW w:w="5244" w:type="dxa"/>
                        </w:tcPr>
                        <w:p w14:paraId="6DB1534D" w14:textId="77777777" w:rsidR="00193C9E" w:rsidRDefault="00193C9E"/>
                      </w:tc>
                    </w:tr>
                    <w:tr w:rsidR="00193C9E" w14:paraId="5257CD11" w14:textId="77777777">
                      <w:trPr>
                        <w:trHeight w:val="240"/>
                      </w:trPr>
                      <w:tc>
                        <w:tcPr>
                          <w:tcW w:w="1134" w:type="dxa"/>
                        </w:tcPr>
                        <w:p w14:paraId="0DBEAB53" w14:textId="77777777" w:rsidR="00193C9E" w:rsidRDefault="00D26397">
                          <w:r>
                            <w:t>Datum</w:t>
                          </w:r>
                        </w:p>
                      </w:tc>
                      <w:tc>
                        <w:tcPr>
                          <w:tcW w:w="5244" w:type="dxa"/>
                        </w:tcPr>
                        <w:p w14:paraId="66BF421A" w14:textId="3B62E62B" w:rsidR="00193C9E" w:rsidRDefault="0081757D">
                          <w:r>
                            <w:fldChar w:fldCharType="begin"/>
                          </w:r>
                          <w:r>
                            <w:instrText xml:space="preserve"> DOCPROPERTY  "iDatum"  \* MERGEFORMAT </w:instrText>
                          </w:r>
                          <w:r>
                            <w:fldChar w:fldCharType="separate"/>
                          </w:r>
                          <w:r w:rsidR="00A57E53">
                            <w:t>28 november 2022</w:t>
                          </w:r>
                          <w:r>
                            <w:fldChar w:fldCharType="end"/>
                          </w:r>
                        </w:p>
                      </w:tc>
                    </w:tr>
                    <w:tr w:rsidR="00193C9E" w14:paraId="0482978F" w14:textId="77777777">
                      <w:trPr>
                        <w:trHeight w:val="240"/>
                      </w:trPr>
                      <w:tc>
                        <w:tcPr>
                          <w:tcW w:w="1134" w:type="dxa"/>
                        </w:tcPr>
                        <w:p w14:paraId="0D62D50E" w14:textId="77777777" w:rsidR="00193C9E" w:rsidRDefault="00D26397">
                          <w:r>
                            <w:t>Betreft</w:t>
                          </w:r>
                        </w:p>
                      </w:tc>
                      <w:tc>
                        <w:tcPr>
                          <w:tcW w:w="5244" w:type="dxa"/>
                        </w:tcPr>
                        <w:p w14:paraId="23941F54" w14:textId="091F7EED" w:rsidR="00193C9E" w:rsidRDefault="00AF5D3A">
                          <w:fldSimple w:instr=" DOCPROPERTY  &quot;iOnderwerp&quot;  \* MERGEFORMAT ">
                            <w:r w:rsidR="00A57E53">
                              <w:t>Brief toezegging uurtarieven en voorschoolse voorzieningen</w:t>
                            </w:r>
                          </w:fldSimple>
                        </w:p>
                      </w:tc>
                    </w:tr>
                    <w:tr w:rsidR="00193C9E" w14:paraId="59429926" w14:textId="77777777">
                      <w:trPr>
                        <w:trHeight w:val="200"/>
                      </w:trPr>
                      <w:tc>
                        <w:tcPr>
                          <w:tcW w:w="1134" w:type="dxa"/>
                        </w:tcPr>
                        <w:p w14:paraId="20FD0BB6" w14:textId="77777777" w:rsidR="00193C9E" w:rsidRDefault="00193C9E"/>
                      </w:tc>
                      <w:tc>
                        <w:tcPr>
                          <w:tcW w:w="5244" w:type="dxa"/>
                        </w:tcPr>
                        <w:p w14:paraId="26B718E4" w14:textId="77777777" w:rsidR="00193C9E" w:rsidRDefault="00193C9E"/>
                      </w:tc>
                    </w:tr>
                  </w:tbl>
                  <w:p w14:paraId="6AFA3B17" w14:textId="77777777" w:rsidR="00866028" w:rsidRDefault="00866028"/>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1B2304B" wp14:editId="4BF36597">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18502E8" w14:textId="70992379" w:rsidR="00193C9E" w:rsidRDefault="00D26397">
                          <w:pPr>
                            <w:pStyle w:val="Afzendgegevens"/>
                          </w:pPr>
                          <w:r>
                            <w:t xml:space="preserve">Pagina </w:t>
                          </w:r>
                          <w:r>
                            <w:fldChar w:fldCharType="begin"/>
                          </w:r>
                          <w:r>
                            <w:instrText>PAGE</w:instrText>
                          </w:r>
                          <w:r>
                            <w:fldChar w:fldCharType="separate"/>
                          </w:r>
                          <w:r w:rsidR="00A57E53">
                            <w:rPr>
                              <w:noProof/>
                            </w:rPr>
                            <w:t>1</w:t>
                          </w:r>
                          <w:r>
                            <w:fldChar w:fldCharType="end"/>
                          </w:r>
                          <w:r>
                            <w:t xml:space="preserve"> van </w:t>
                          </w:r>
                          <w:r>
                            <w:fldChar w:fldCharType="begin"/>
                          </w:r>
                          <w:r>
                            <w:instrText>NUMPAGES</w:instrText>
                          </w:r>
                          <w:r>
                            <w:fldChar w:fldCharType="separate"/>
                          </w:r>
                          <w:r w:rsidR="00A57E53">
                            <w:rPr>
                              <w:noProof/>
                            </w:rPr>
                            <w:t>7</w:t>
                          </w:r>
                          <w:r>
                            <w:fldChar w:fldCharType="end"/>
                          </w:r>
                        </w:p>
                      </w:txbxContent>
                    </wps:txbx>
                    <wps:bodyPr vert="horz" wrap="square" lIns="0" tIns="0" rIns="0" bIns="0" anchor="t" anchorCtr="0"/>
                  </wps:wsp>
                </a:graphicData>
              </a:graphic>
            </wp:anchor>
          </w:drawing>
        </mc:Choice>
        <mc:Fallback>
          <w:pict>
            <v:shape w14:anchorId="21B2304B"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218502E8" w14:textId="70992379" w:rsidR="00193C9E" w:rsidRDefault="00D26397">
                    <w:pPr>
                      <w:pStyle w:val="Afzendgegevens"/>
                    </w:pPr>
                    <w:r>
                      <w:t xml:space="preserve">Pagina </w:t>
                    </w:r>
                    <w:r>
                      <w:fldChar w:fldCharType="begin"/>
                    </w:r>
                    <w:r>
                      <w:instrText>PAGE</w:instrText>
                    </w:r>
                    <w:r>
                      <w:fldChar w:fldCharType="separate"/>
                    </w:r>
                    <w:r w:rsidR="00A57E53">
                      <w:rPr>
                        <w:noProof/>
                      </w:rPr>
                      <w:t>1</w:t>
                    </w:r>
                    <w:r>
                      <w:fldChar w:fldCharType="end"/>
                    </w:r>
                    <w:r>
                      <w:t xml:space="preserve"> van </w:t>
                    </w:r>
                    <w:r>
                      <w:fldChar w:fldCharType="begin"/>
                    </w:r>
                    <w:r>
                      <w:instrText>NUMPAGES</w:instrText>
                    </w:r>
                    <w:r>
                      <w:fldChar w:fldCharType="separate"/>
                    </w:r>
                    <w:r w:rsidR="00A57E53">
                      <w:rPr>
                        <w:noProof/>
                      </w:rPr>
                      <w:t>7</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85781"/>
    <w:multiLevelType w:val="multilevel"/>
    <w:tmpl w:val="BD9CD23F"/>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7A71109"/>
    <w:multiLevelType w:val="multilevel"/>
    <w:tmpl w:val="CE666BA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A0569E"/>
    <w:multiLevelType w:val="multilevel"/>
    <w:tmpl w:val="91B7FFF3"/>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0B2388"/>
    <w:multiLevelType w:val="multilevel"/>
    <w:tmpl w:val="3816E8DA"/>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203B0"/>
    <w:multiLevelType w:val="multilevel"/>
    <w:tmpl w:val="D68FF537"/>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EB8584"/>
    <w:multiLevelType w:val="multilevel"/>
    <w:tmpl w:val="FBCEA79B"/>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7705830">
    <w:abstractNumId w:val="0"/>
  </w:num>
  <w:num w:numId="2" w16cid:durableId="1684086121">
    <w:abstractNumId w:val="4"/>
  </w:num>
  <w:num w:numId="3" w16cid:durableId="236943902">
    <w:abstractNumId w:val="2"/>
  </w:num>
  <w:num w:numId="4" w16cid:durableId="1953366452">
    <w:abstractNumId w:val="5"/>
  </w:num>
  <w:num w:numId="5" w16cid:durableId="1960381379">
    <w:abstractNumId w:val="3"/>
  </w:num>
  <w:num w:numId="6" w16cid:durableId="134278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9E"/>
    <w:rsid w:val="00021786"/>
    <w:rsid w:val="0003192B"/>
    <w:rsid w:val="000331A1"/>
    <w:rsid w:val="000411B3"/>
    <w:rsid w:val="00043A68"/>
    <w:rsid w:val="00063D7B"/>
    <w:rsid w:val="000653B3"/>
    <w:rsid w:val="000F01F3"/>
    <w:rsid w:val="000F2AB2"/>
    <w:rsid w:val="0010465C"/>
    <w:rsid w:val="00105578"/>
    <w:rsid w:val="00132F2F"/>
    <w:rsid w:val="00173A0D"/>
    <w:rsid w:val="00184E09"/>
    <w:rsid w:val="00193C9E"/>
    <w:rsid w:val="001A3ED7"/>
    <w:rsid w:val="001C28D9"/>
    <w:rsid w:val="001F106E"/>
    <w:rsid w:val="00203361"/>
    <w:rsid w:val="002120CA"/>
    <w:rsid w:val="00212AAF"/>
    <w:rsid w:val="00236DE5"/>
    <w:rsid w:val="00271541"/>
    <w:rsid w:val="00275B2E"/>
    <w:rsid w:val="00293D12"/>
    <w:rsid w:val="002A54F2"/>
    <w:rsid w:val="002B7BEB"/>
    <w:rsid w:val="002E35B9"/>
    <w:rsid w:val="002F0F56"/>
    <w:rsid w:val="003228DA"/>
    <w:rsid w:val="00323AA4"/>
    <w:rsid w:val="003264F6"/>
    <w:rsid w:val="003528F4"/>
    <w:rsid w:val="00356214"/>
    <w:rsid w:val="003D76F9"/>
    <w:rsid w:val="003D7AEE"/>
    <w:rsid w:val="00415B14"/>
    <w:rsid w:val="0045367F"/>
    <w:rsid w:val="004555AD"/>
    <w:rsid w:val="004B725B"/>
    <w:rsid w:val="004C78A8"/>
    <w:rsid w:val="004D2C20"/>
    <w:rsid w:val="00504C46"/>
    <w:rsid w:val="0053101D"/>
    <w:rsid w:val="005A6E06"/>
    <w:rsid w:val="005B1CE2"/>
    <w:rsid w:val="005C37A6"/>
    <w:rsid w:val="005D2DB8"/>
    <w:rsid w:val="005D6154"/>
    <w:rsid w:val="005E182F"/>
    <w:rsid w:val="006300C0"/>
    <w:rsid w:val="00637101"/>
    <w:rsid w:val="00651DE3"/>
    <w:rsid w:val="006A6073"/>
    <w:rsid w:val="006A62E5"/>
    <w:rsid w:val="006D052D"/>
    <w:rsid w:val="006D22A5"/>
    <w:rsid w:val="0072350D"/>
    <w:rsid w:val="0079162A"/>
    <w:rsid w:val="0081757D"/>
    <w:rsid w:val="00822808"/>
    <w:rsid w:val="00830D69"/>
    <w:rsid w:val="00844F16"/>
    <w:rsid w:val="00866028"/>
    <w:rsid w:val="00870909"/>
    <w:rsid w:val="008817E8"/>
    <w:rsid w:val="00892AD1"/>
    <w:rsid w:val="00897C2B"/>
    <w:rsid w:val="008E64EE"/>
    <w:rsid w:val="00903709"/>
    <w:rsid w:val="009167E6"/>
    <w:rsid w:val="00986147"/>
    <w:rsid w:val="00990753"/>
    <w:rsid w:val="009A03AB"/>
    <w:rsid w:val="009A5888"/>
    <w:rsid w:val="009D2964"/>
    <w:rsid w:val="009D6119"/>
    <w:rsid w:val="009E0AF4"/>
    <w:rsid w:val="009F17BC"/>
    <w:rsid w:val="00A1152D"/>
    <w:rsid w:val="00A34C5F"/>
    <w:rsid w:val="00A53B1A"/>
    <w:rsid w:val="00A57E53"/>
    <w:rsid w:val="00A63C59"/>
    <w:rsid w:val="00A723D1"/>
    <w:rsid w:val="00AF5D3A"/>
    <w:rsid w:val="00AF615E"/>
    <w:rsid w:val="00B22A87"/>
    <w:rsid w:val="00B5161E"/>
    <w:rsid w:val="00B561BA"/>
    <w:rsid w:val="00B70361"/>
    <w:rsid w:val="00B92EA8"/>
    <w:rsid w:val="00BA5131"/>
    <w:rsid w:val="00BD2239"/>
    <w:rsid w:val="00BE1E3A"/>
    <w:rsid w:val="00BF68B7"/>
    <w:rsid w:val="00C757C4"/>
    <w:rsid w:val="00C8357D"/>
    <w:rsid w:val="00C93D4B"/>
    <w:rsid w:val="00CA4201"/>
    <w:rsid w:val="00CC2255"/>
    <w:rsid w:val="00CF79AB"/>
    <w:rsid w:val="00D26397"/>
    <w:rsid w:val="00D26BD5"/>
    <w:rsid w:val="00DA5B51"/>
    <w:rsid w:val="00DA719A"/>
    <w:rsid w:val="00DB5999"/>
    <w:rsid w:val="00E3585F"/>
    <w:rsid w:val="00E41965"/>
    <w:rsid w:val="00E933EC"/>
    <w:rsid w:val="00EA32EA"/>
    <w:rsid w:val="00EB0E27"/>
    <w:rsid w:val="00EC5FA8"/>
    <w:rsid w:val="00F3632A"/>
    <w:rsid w:val="00F6637D"/>
    <w:rsid w:val="00F66B3E"/>
    <w:rsid w:val="00FA6C32"/>
    <w:rsid w:val="00FB1B62"/>
    <w:rsid w:val="00FD4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F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styleId="Hyperlink">
    <w:name w:val="Hyperlink"/>
    <w:basedOn w:val="Standaardalinea-lettertype"/>
    <w:uiPriority w:val="99"/>
    <w:semiHidden/>
    <w:unhideWhenUsed/>
    <w:rsid w:val="00E933EC"/>
    <w:rPr>
      <w:color w:val="0000FF"/>
      <w:u w:val="single"/>
    </w:rPr>
  </w:style>
  <w:style w:type="paragraph" w:styleId="Voetnoottekst">
    <w:name w:val="footnote text"/>
    <w:basedOn w:val="Standaard"/>
    <w:link w:val="VoetnoottekstChar"/>
    <w:uiPriority w:val="99"/>
    <w:semiHidden/>
    <w:unhideWhenUsed/>
    <w:rsid w:val="00E933EC"/>
    <w:pPr>
      <w:autoSpaceDN/>
      <w:spacing w:line="240" w:lineRule="auto"/>
      <w:textAlignment w:val="auto"/>
    </w:pPr>
    <w:rPr>
      <w:rFonts w:ascii="Calibri" w:eastAsiaTheme="minorHAnsi" w:hAnsi="Calibri" w:cs="Calibri"/>
      <w:color w:val="auto"/>
      <w:sz w:val="20"/>
      <w:szCs w:val="20"/>
      <w:lang w:eastAsia="en-US"/>
    </w:rPr>
  </w:style>
  <w:style w:type="character" w:customStyle="1" w:styleId="VoetnoottekstChar">
    <w:name w:val="Voetnoottekst Char"/>
    <w:basedOn w:val="Standaardalinea-lettertype"/>
    <w:link w:val="Voetnoottekst"/>
    <w:uiPriority w:val="99"/>
    <w:semiHidden/>
    <w:rsid w:val="00E933EC"/>
    <w:rPr>
      <w:rFonts w:ascii="Calibri" w:eastAsiaTheme="minorHAnsi" w:hAnsi="Calibri" w:cs="Calibri"/>
      <w:lang w:eastAsia="en-US"/>
    </w:rPr>
  </w:style>
  <w:style w:type="paragraph" w:styleId="Tekstopmerking">
    <w:name w:val="annotation text"/>
    <w:basedOn w:val="Standaard"/>
    <w:link w:val="TekstopmerkingChar"/>
    <w:uiPriority w:val="99"/>
    <w:semiHidden/>
    <w:unhideWhenUsed/>
    <w:rsid w:val="00E933EC"/>
    <w:pPr>
      <w:autoSpaceDN/>
      <w:spacing w:line="240" w:lineRule="auto"/>
      <w:textAlignment w:val="auto"/>
    </w:pPr>
    <w:rPr>
      <w:rFonts w:ascii="Calibri" w:eastAsiaTheme="minorHAnsi" w:hAnsi="Calibri" w:cs="Calibri"/>
      <w:color w:val="auto"/>
      <w:sz w:val="20"/>
      <w:szCs w:val="20"/>
      <w:lang w:eastAsia="en-US"/>
    </w:rPr>
  </w:style>
  <w:style w:type="character" w:customStyle="1" w:styleId="TekstopmerkingChar">
    <w:name w:val="Tekst opmerking Char"/>
    <w:basedOn w:val="Standaardalinea-lettertype"/>
    <w:link w:val="Tekstopmerking"/>
    <w:uiPriority w:val="99"/>
    <w:semiHidden/>
    <w:rsid w:val="00E933EC"/>
    <w:rPr>
      <w:rFonts w:ascii="Calibri" w:eastAsiaTheme="minorHAnsi" w:hAnsi="Calibri" w:cs="Calibri"/>
      <w:lang w:eastAsia="en-US"/>
    </w:rPr>
  </w:style>
  <w:style w:type="character" w:styleId="Voetnootmarkering">
    <w:name w:val="footnote reference"/>
    <w:basedOn w:val="Standaardalinea-lettertype"/>
    <w:uiPriority w:val="99"/>
    <w:semiHidden/>
    <w:unhideWhenUsed/>
    <w:rsid w:val="00E933EC"/>
    <w:rPr>
      <w:vertAlign w:val="superscript"/>
    </w:rPr>
  </w:style>
  <w:style w:type="character" w:styleId="Verwijzingopmerking">
    <w:name w:val="annotation reference"/>
    <w:basedOn w:val="Standaardalinea-lettertype"/>
    <w:uiPriority w:val="99"/>
    <w:semiHidden/>
    <w:unhideWhenUsed/>
    <w:rsid w:val="00E933EC"/>
    <w:rPr>
      <w:sz w:val="16"/>
      <w:szCs w:val="16"/>
    </w:rPr>
  </w:style>
  <w:style w:type="paragraph" w:styleId="Onderwerpvanopmerking">
    <w:name w:val="annotation subject"/>
    <w:basedOn w:val="Tekstopmerking"/>
    <w:next w:val="Tekstopmerking"/>
    <w:link w:val="OnderwerpvanopmerkingChar"/>
    <w:uiPriority w:val="99"/>
    <w:semiHidden/>
    <w:unhideWhenUsed/>
    <w:rsid w:val="00E933EC"/>
    <w:pPr>
      <w:autoSpaceDN w:val="0"/>
      <w:textAlignment w:val="baseline"/>
    </w:pPr>
    <w:rPr>
      <w:rFonts w:ascii="Verdana" w:eastAsia="DejaVu Sans" w:hAnsi="Verdana"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E933EC"/>
    <w:rPr>
      <w:rFonts w:ascii="Verdana" w:eastAsiaTheme="minorHAnsi" w:hAnsi="Verdana" w:cs="Calibri"/>
      <w:b/>
      <w:bCs/>
      <w:color w:val="000000"/>
      <w:lang w:eastAsia="en-US"/>
    </w:rPr>
  </w:style>
  <w:style w:type="character" w:styleId="GevolgdeHyperlink">
    <w:name w:val="FollowedHyperlink"/>
    <w:basedOn w:val="Standaardalinea-lettertype"/>
    <w:uiPriority w:val="99"/>
    <w:semiHidden/>
    <w:unhideWhenUsed/>
    <w:rsid w:val="00B92EA8"/>
    <w:rPr>
      <w:color w:val="954F72" w:themeColor="followedHyperlink"/>
      <w:u w:val="single"/>
    </w:rPr>
  </w:style>
  <w:style w:type="table" w:styleId="Lijsttabel3">
    <w:name w:val="List Table 3"/>
    <w:basedOn w:val="Standaardtabel"/>
    <w:uiPriority w:val="48"/>
    <w:rsid w:val="00504C46"/>
    <w:pPr>
      <w:autoSpaceDN/>
      <w:textAlignment w:val="auto"/>
    </w:pPr>
    <w:rPr>
      <w:rFonts w:ascii="Verdana" w:eastAsiaTheme="minorHAnsi" w:hAnsi="Verdana" w:cstheme="minorBidi"/>
      <w:sz w:val="18"/>
      <w:szCs w:val="22"/>
      <w:lang w:val="en-US"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637101"/>
    <w:pPr>
      <w:autoSpaceDE w:val="0"/>
      <w:adjustRightInd w:val="0"/>
      <w:textAlignment w:val="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80932">
      <w:bodyDiv w:val="1"/>
      <w:marLeft w:val="0"/>
      <w:marRight w:val="0"/>
      <w:marTop w:val="0"/>
      <w:marBottom w:val="0"/>
      <w:divBdr>
        <w:top w:val="none" w:sz="0" w:space="0" w:color="auto"/>
        <w:left w:val="none" w:sz="0" w:space="0" w:color="auto"/>
        <w:bottom w:val="none" w:sz="0" w:space="0" w:color="auto"/>
        <w:right w:val="none" w:sz="0" w:space="0" w:color="auto"/>
      </w:divBdr>
    </w:div>
    <w:div w:id="1398674570">
      <w:bodyDiv w:val="1"/>
      <w:marLeft w:val="0"/>
      <w:marRight w:val="0"/>
      <w:marTop w:val="0"/>
      <w:marBottom w:val="0"/>
      <w:divBdr>
        <w:top w:val="none" w:sz="0" w:space="0" w:color="auto"/>
        <w:left w:val="none" w:sz="0" w:space="0" w:color="auto"/>
        <w:bottom w:val="none" w:sz="0" w:space="0" w:color="auto"/>
        <w:right w:val="none" w:sz="0" w:space="0" w:color="auto"/>
      </w:divBdr>
    </w:div>
    <w:div w:id="1443575089">
      <w:bodyDiv w:val="1"/>
      <w:marLeft w:val="0"/>
      <w:marRight w:val="0"/>
      <w:marTop w:val="0"/>
      <w:marBottom w:val="0"/>
      <w:divBdr>
        <w:top w:val="none" w:sz="0" w:space="0" w:color="auto"/>
        <w:left w:val="none" w:sz="0" w:space="0" w:color="auto"/>
        <w:bottom w:val="none" w:sz="0" w:space="0" w:color="auto"/>
        <w:right w:val="none" w:sz="0" w:space="0" w:color="auto"/>
      </w:divBdr>
    </w:div>
    <w:div w:id="1991903306">
      <w:bodyDiv w:val="1"/>
      <w:marLeft w:val="0"/>
      <w:marRight w:val="0"/>
      <w:marTop w:val="0"/>
      <w:marBottom w:val="0"/>
      <w:divBdr>
        <w:top w:val="none" w:sz="0" w:space="0" w:color="auto"/>
        <w:left w:val="none" w:sz="0" w:space="0" w:color="auto"/>
        <w:bottom w:val="none" w:sz="0" w:space="0" w:color="auto"/>
        <w:right w:val="none" w:sz="0" w:space="0" w:color="auto"/>
      </w:divBdr>
    </w:div>
    <w:div w:id="2056001944">
      <w:bodyDiv w:val="1"/>
      <w:marLeft w:val="0"/>
      <w:marRight w:val="0"/>
      <w:marTop w:val="0"/>
      <w:marBottom w:val="0"/>
      <w:divBdr>
        <w:top w:val="none" w:sz="0" w:space="0" w:color="auto"/>
        <w:left w:val="none" w:sz="0" w:space="0" w:color="auto"/>
        <w:bottom w:val="none" w:sz="0" w:space="0" w:color="auto"/>
        <w:right w:val="none" w:sz="0" w:space="0" w:color="auto"/>
      </w:divBdr>
    </w:div>
    <w:div w:id="2069919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14724</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1</cp:revision>
  <dcterms:created xsi:type="dcterms:W3CDTF">2022-11-30T16:59:00Z</dcterms:created>
  <dcterms:modified xsi:type="dcterms:W3CDTF">2022-11-30T16:59:00Z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28 november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Brief toezegging uurtarieven en voorschoolse voorzieningen</vt:lpwstr>
  </property>
  <property fmtid="{D5CDD505-2E9C-101B-9397-08002B2CF9AE}" pid="10" name="iOnsKenmerk">
    <vt:lpwstr>2022-0000247661</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